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c88a8c9e2959d0dc60deaa1dd3b40e9a01b723"/>
    <w:p>
      <w:pPr>
        <w:pStyle w:val="Heading1"/>
      </w:pPr>
      <w:r>
        <w:t xml:space="preserve">UNESCO Recommendation on the Ethics of Artificial Intelligence (2021)</w:t>
      </w:r>
    </w:p>
    <w:p>
      <w:pPr>
        <w:pStyle w:val="FirstParagraph"/>
      </w:pPr>
      <w:r>
        <w:rPr>
          <w:b/>
          <w:bCs/>
        </w:rPr>
        <w:t xml:space="preserve">Date</w:t>
      </w:r>
      <w:r>
        <w:t xml:space="preserve">: 2021-11-23</w:t>
      </w:r>
    </w:p>
    <w:p>
      <w:pPr>
        <w:pStyle w:val="BodyText"/>
      </w:pPr>
      <w:r>
        <w:rPr>
          <w:b/>
          <w:bCs/>
        </w:rPr>
        <w:t xml:space="preserve">Location</w:t>
      </w:r>
      <w:r>
        <w:t xml:space="preserve">: Paris, France</w:t>
      </w:r>
    </w:p>
    <w:bookmarkStart w:id="20" w:name="executive-summary"/>
    <w:p>
      <w:pPr>
        <w:pStyle w:val="Heading2"/>
      </w:pPr>
      <w:r>
        <w:t xml:space="preserve">Executive Summary</w:t>
      </w:r>
    </w:p>
    <w:p>
      <w:pPr>
        <w:pStyle w:val="FirstParagraph"/>
      </w:pPr>
      <w:r>
        <w:t xml:space="preserve">The UNESCO Recommendation on the Ethics of Artificial Intelligence, adopted in November 2021, provides a comprehensive global framework to guide the ethical development and use of AI technologies. It emphasizes respect for human dignity, human rights, gender equality, social justice, environmental protection, and cultural diversity. The Recommendation addresses AI’s impact across education, science, culture, communication, economy, labor, health, and social well-being. It calls for inclusive, transparent, and accountable AI governance, ethical impact assessments, data protection, and multi-stakeholder collaboration. Special attention is given to marginalized groups, low- and middle-income countries, and the need to bridge digital divides. The document promotes AI literacy, gender equality in AI fields, sustainable development, and safeguards against discrimination, bias, and harm. UNESCO commits to supporting Member States through methodologies for ethical impact assessment, readiness evaluation, and policy monitoring to ensure AI benefits humanity while mitigating risks.</w:t>
      </w:r>
    </w:p>
    <w:bookmarkEnd w:id="20"/>
    <w:bookmarkStart w:id="21" w:name="characteristics"/>
    <w:p>
      <w:pPr>
        <w:pStyle w:val="Heading2"/>
      </w:pPr>
      <w:r>
        <w:t xml:space="preserve">Characteristics</w:t>
      </w:r>
    </w:p>
    <w:p>
      <w:pPr>
        <w:pStyle w:val="Compact"/>
        <w:numPr>
          <w:ilvl w:val="0"/>
          <w:numId w:val="1001"/>
        </w:numPr>
      </w:pPr>
      <w:r>
        <w:t xml:space="preserve">The UNESCO Recommendation on the Ethics of Artificial Intelligence (2021) provides a global, normative framework emphasizing human dignity, human rights, gender equality, social justice, and environmental protection throughout the AI system life cycle.</w:t>
      </w:r>
    </w:p>
    <w:p>
      <w:pPr>
        <w:pStyle w:val="Compact"/>
        <w:numPr>
          <w:ilvl w:val="0"/>
          <w:numId w:val="1001"/>
        </w:numPr>
      </w:pPr>
      <w:r>
        <w:t xml:space="preserve">It addresses ethical issues in AI’s design, deployment, and use, focusing on transparency, fairness, accountability, privacy, safety, and inclusiveness, with special attention to marginalized groups and low- and middle-income countries.</w:t>
      </w:r>
    </w:p>
    <w:p>
      <w:pPr>
        <w:pStyle w:val="Compact"/>
        <w:numPr>
          <w:ilvl w:val="0"/>
          <w:numId w:val="1001"/>
        </w:numPr>
      </w:pPr>
      <w:r>
        <w:t xml:space="preserve">The Recommendation outlines 11 policy areas including ethical impact assessment, governance, data policy, international cooperation, environment, gender, culture, education, communication, economy, and health.</w:t>
      </w:r>
    </w:p>
    <w:p>
      <w:pPr>
        <w:pStyle w:val="Compact"/>
        <w:numPr>
          <w:ilvl w:val="0"/>
          <w:numId w:val="1001"/>
        </w:numPr>
      </w:pPr>
      <w:r>
        <w:t xml:space="preserve">It promotes multi-stakeholder, multidisciplinary governance, continuous monitoring, and adaptive policies to ensure AI benefits society while mitigating risks like bias, discrimination, digital divides, and environmental harm.</w:t>
      </w:r>
    </w:p>
    <w:p>
      <w:pPr>
        <w:pStyle w:val="Compact"/>
        <w:numPr>
          <w:ilvl w:val="0"/>
          <w:numId w:val="1001"/>
        </w:numPr>
      </w:pPr>
      <w:r>
        <w:t xml:space="preserve">Emphasis is placed on education, literacy, and research to empower individuals, foster ethical AI development, and support equitable access to AI technologies globally.</w:t>
      </w:r>
    </w:p>
    <w:p>
      <w:pPr>
        <w:pStyle w:val="Compact"/>
        <w:numPr>
          <w:ilvl w:val="0"/>
          <w:numId w:val="1001"/>
        </w:numPr>
      </w:pPr>
      <w:r>
        <w:t xml:space="preserve">The document encourages international collaboration, legal frameworks aligned with human rights law, and mechanisms for transparency, explainability, and human oversight to maintain trustworthiness and ethical AI use.</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 Governments; Member States</w:t>
            </w:r>
          </w:p>
        </w:tc>
      </w:tr>
      <w:tr>
        <w:tc>
          <w:tcPr/>
          <w:p>
            <w:pPr>
              <w:pStyle w:val="Compact"/>
            </w:pPr>
            <w:r>
              <w:t xml:space="preserve">Research and Innovation Actors</w:t>
            </w:r>
          </w:p>
        </w:tc>
        <w:tc>
          <w:tcPr/>
          <w:p>
            <w:pPr>
              <w:pStyle w:val="Compact"/>
            </w:pPr>
            <w:r>
              <w:t xml:space="preserve">Universities; Academic Institutions; Researchers</w:t>
            </w:r>
          </w:p>
        </w:tc>
      </w:tr>
      <w:tr>
        <w:tc>
          <w:tcPr/>
          <w:p>
            <w:pPr>
              <w:pStyle w:val="Compact"/>
            </w:pPr>
            <w:r>
              <w:t xml:space="preserve">Economic Actors</w:t>
            </w:r>
          </w:p>
        </w:tc>
        <w:tc>
          <w:tcPr/>
          <w:p>
            <w:pPr>
              <w:pStyle w:val="Compact"/>
            </w:pPr>
            <w:r>
              <w:t xml:space="preserve">Private Sector Representatives; Industry Actors; Digital Companies; ICT Companies</w:t>
            </w:r>
          </w:p>
        </w:tc>
      </w:tr>
      <w:tr>
        <w:tc>
          <w:tcPr/>
          <w:p>
            <w:pPr>
              <w:pStyle w:val="Compact"/>
            </w:pPr>
            <w:r>
              <w:t xml:space="preserve">Civil Society Actors</w:t>
            </w:r>
          </w:p>
        </w:tc>
        <w:tc>
          <w:tcPr/>
          <w:p>
            <w:pPr>
              <w:pStyle w:val="Compact"/>
            </w:pPr>
            <w:r>
              <w:t xml:space="preserve">Civil Society Organisations; Digital Training and Education Providers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Technology &amp; Innovation</w:t>
            </w:r>
          </w:p>
        </w:tc>
        <w:tc>
          <w:tcPr/>
          <w:p>
            <w:pPr>
              <w:pStyle w:val="Compact"/>
            </w:pPr>
            <w:r>
              <w:t xml:space="preserve">AI Ethics; Artificial Intelligence</w:t>
            </w:r>
          </w:p>
        </w:tc>
      </w:tr>
      <w:tr>
        <w:tc>
          <w:tcPr/>
          <w:p>
            <w:pPr>
              <w:pStyle w:val="Compact"/>
            </w:pPr>
            <w:r>
              <w:t xml:space="preserve">Data &amp; Governance</w:t>
            </w:r>
          </w:p>
        </w:tc>
        <w:tc>
          <w:tcPr/>
          <w:p>
            <w:pPr>
              <w:pStyle w:val="Compact"/>
            </w:pPr>
            <w:r>
              <w:t xml:space="preserve">Digital Governance; Data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UNESCO is developing a readiness assessment methodology to assist Member States in identifying their status along a continuum of readiness dimensions for AI ethics implementation.</w:t>
      </w:r>
    </w:p>
    <w:p>
      <w:pPr>
        <w:pStyle w:val="Compact"/>
        <w:numPr>
          <w:ilvl w:val="0"/>
          <w:numId w:val="1002"/>
        </w:numPr>
      </w:pPr>
      <w:r>
        <w:t xml:space="preserve">UNESCO is creating a methodology for Ethical Impact Assessment (EIA) of AI technologies, including guidance for implementation throughout the AI system life cycle and capacity-building materials for training government officials, policy-makers, and AI actors.</w:t>
      </w:r>
    </w:p>
    <w:p>
      <w:pPr>
        <w:pStyle w:val="Compact"/>
        <w:numPr>
          <w:ilvl w:val="0"/>
          <w:numId w:val="1002"/>
        </w:numPr>
      </w:pPr>
      <w:r>
        <w:t xml:space="preserve">Member States are encouraged to introduce frameworks for ethical impact assessments to identify and mitigate benefits, concerns, and risks of AI systems, including human rights, labor, environmental, and social implications.</w:t>
      </w:r>
    </w:p>
    <w:p>
      <w:pPr>
        <w:pStyle w:val="Compact"/>
        <w:numPr>
          <w:ilvl w:val="0"/>
          <w:numId w:val="1002"/>
        </w:numPr>
      </w:pPr>
      <w:r>
        <w:t xml:space="preserve">Member States and private sector companies are developing due diligence and oversight mechanisms to address AI systems’ impacts on human rights, rule of law, and inclusive societies.</w:t>
      </w:r>
    </w:p>
    <w:p>
      <w:pPr>
        <w:pStyle w:val="Compact"/>
        <w:numPr>
          <w:ilvl w:val="0"/>
          <w:numId w:val="1002"/>
        </w:numPr>
      </w:pPr>
      <w:r>
        <w:t xml:space="preserve">Governments are adopting regulatory frameworks requiring public authorities to carry out ethical impact assessments on AI systems, including oversight mechanisms such as auditability, traceability, explainability, and external review.</w:t>
      </w:r>
    </w:p>
    <w:p>
      <w:pPr>
        <w:pStyle w:val="Compact"/>
        <w:numPr>
          <w:ilvl w:val="0"/>
          <w:numId w:val="1002"/>
        </w:numPr>
      </w:pPr>
      <w:r>
        <w:t xml:space="preserve">Member States are encouraged to develop inclusive, transparent, multidisciplinary, multilateral, and multi-stakeholder AI governance mechanisms with enforcement and redress capabilities.</w:t>
      </w:r>
    </w:p>
    <w:p>
      <w:pPr>
        <w:pStyle w:val="Compact"/>
        <w:numPr>
          <w:ilvl w:val="0"/>
          <w:numId w:val="1002"/>
        </w:numPr>
      </w:pPr>
      <w:r>
        <w:t xml:space="preserve">Member States are encouraged to develop national and regional AI strategies, including certification mechanisms for AI systems with regular monitoring and re-certification to ensure ethical compliance.</w:t>
      </w:r>
    </w:p>
    <w:p>
      <w:pPr>
        <w:pStyle w:val="Compact"/>
        <w:numPr>
          <w:ilvl w:val="0"/>
          <w:numId w:val="1002"/>
        </w:numPr>
      </w:pPr>
      <w:r>
        <w:t xml:space="preserve">Member States and public authorities conduct transparent self-assessments of AI systems to evaluate appropriateness and compliance with human rights obligations.</w:t>
      </w:r>
    </w:p>
    <w:p>
      <w:pPr>
        <w:pStyle w:val="Compact"/>
        <w:numPr>
          <w:ilvl w:val="0"/>
          <w:numId w:val="1002"/>
        </w:numPr>
      </w:pPr>
      <w:r>
        <w:t xml:space="preserve">Member States, private sector companies, and civil society organizations are encouraged to appoint independent AI Ethics Officers and create networks of such officers for ethical oversight at national, regional, and international levels.</w:t>
      </w:r>
    </w:p>
    <w:p>
      <w:pPr>
        <w:pStyle w:val="Compact"/>
        <w:numPr>
          <w:ilvl w:val="0"/>
          <w:numId w:val="1002"/>
        </w:numPr>
      </w:pPr>
      <w:r>
        <w:t xml:space="preserve">Member States are fostering the development of national digital ecosystems for ethical and inclusive AI development, including digital infrastructure and AI knowledge-sharing mechanisms.</w:t>
      </w:r>
    </w:p>
    <w:p>
      <w:pPr>
        <w:pStyle w:val="Compact"/>
        <w:numPr>
          <w:ilvl w:val="0"/>
          <w:numId w:val="1002"/>
        </w:numPr>
      </w:pPr>
      <w:r>
        <w:t xml:space="preserve">Member States establish mechanisms to ensure active participation of all countries, especially LMICs, LDCs, LLDCs, and SIDS, in international AI governance discussions, including funding and facilitating travel for AI actors.</w:t>
      </w:r>
    </w:p>
    <w:p>
      <w:pPr>
        <w:pStyle w:val="Compact"/>
        <w:numPr>
          <w:ilvl w:val="0"/>
          <w:numId w:val="1002"/>
        </w:numPr>
      </w:pPr>
      <w:r>
        <w:t xml:space="preserve">Member States are encouraged to develop and adapt national legislation on AI systems consistent with human rights law, including liability frameworks attributing accountability to AI actors and ensuring human oversight.</w:t>
      </w:r>
    </w:p>
    <w:p>
      <w:pPr>
        <w:pStyle w:val="Compact"/>
        <w:numPr>
          <w:ilvl w:val="0"/>
          <w:numId w:val="1002"/>
        </w:numPr>
      </w:pPr>
      <w:r>
        <w:t xml:space="preserve">Member States are encouraged to use policy prototypes and regulatory sandboxes to develop, test, and review AI laws and regulations safely and iteratively.</w:t>
      </w:r>
    </w:p>
    <w:p>
      <w:pPr>
        <w:pStyle w:val="Compact"/>
        <w:numPr>
          <w:ilvl w:val="0"/>
          <w:numId w:val="1002"/>
        </w:numPr>
      </w:pPr>
      <w:r>
        <w:t xml:space="preserve">Member States are developing data governance strategies ensuring quality training data, data security, privacy protection, and feedback mechanisms for AI systems.</w:t>
      </w:r>
    </w:p>
    <w:p>
      <w:pPr>
        <w:pStyle w:val="Compact"/>
        <w:numPr>
          <w:ilvl w:val="0"/>
          <w:numId w:val="1002"/>
        </w:numPr>
      </w:pPr>
      <w:r>
        <w:t xml:space="preserve">Member States adopt or enforce legislative frameworks for privacy and data protection compliant with international law, including privacy impact assessments and privacy by design in AI systems.</w:t>
      </w:r>
    </w:p>
    <w:p>
      <w:pPr>
        <w:pStyle w:val="Compact"/>
        <w:numPr>
          <w:ilvl w:val="0"/>
          <w:numId w:val="1002"/>
        </w:numPr>
      </w:pPr>
      <w:r>
        <w:t xml:space="preserve">Member States promote open data policies, including open repositories for publicly funded data and data trusts to support ethical data sharing.</w:t>
      </w:r>
    </w:p>
    <w:p>
      <w:pPr>
        <w:pStyle w:val="Compact"/>
        <w:numPr>
          <w:ilvl w:val="0"/>
          <w:numId w:val="1002"/>
        </w:numPr>
      </w:pPr>
      <w:r>
        <w:t xml:space="preserve">Member States promote international cooperation on AI for development, including funding, expertise sharing, infrastructure, and multi-stakeholder collaboration, especially supporting LMICs, LDCs, LLDCs, and SIDS.</w:t>
      </w:r>
    </w:p>
    <w:p>
      <w:pPr>
        <w:pStyle w:val="Compact"/>
        <w:numPr>
          <w:ilvl w:val="0"/>
          <w:numId w:val="1002"/>
        </w:numPr>
      </w:pPr>
      <w:r>
        <w:t xml:space="preserve">Member States promote AI ethics research and international collaboration, including research centers and networks with participation from LMICs and other countries.</w:t>
      </w:r>
    </w:p>
    <w:p>
      <w:pPr>
        <w:pStyle w:val="Compact"/>
        <w:numPr>
          <w:ilvl w:val="0"/>
          <w:numId w:val="1002"/>
        </w:numPr>
      </w:pPr>
      <w:r>
        <w:t xml:space="preserve">Member States introduce incentives to develop and adopt AI-powered solutions for environmental protection, disaster resilience, sustainable resource management, and circular economy approaches.</w:t>
      </w:r>
    </w:p>
    <w:p>
      <w:pPr>
        <w:pStyle w:val="Compact"/>
        <w:numPr>
          <w:ilvl w:val="0"/>
          <w:numId w:val="1002"/>
        </w:numPr>
      </w:pPr>
      <w:r>
        <w:t xml:space="preserve">Member States ensure AI systems used in health care are safe, effective, scientifically proven, and respect human rights, including oversight mechanisms and ethical review committees.</w:t>
      </w:r>
    </w:p>
    <w:p>
      <w:pPr>
        <w:pStyle w:val="Compact"/>
        <w:numPr>
          <w:ilvl w:val="0"/>
          <w:numId w:val="1002"/>
        </w:numPr>
      </w:pPr>
      <w:r>
        <w:t xml:space="preserve">Member States develop AI literacy education programs at all levels, promoting prerequisite skills, critical thinking, and AI ethics education, including curricula development and online resources in local and indigenous languages.</w:t>
      </w:r>
    </w:p>
    <w:p>
      <w:pPr>
        <w:pStyle w:val="Compact"/>
        <w:numPr>
          <w:ilvl w:val="0"/>
          <w:numId w:val="1002"/>
        </w:numPr>
      </w:pPr>
      <w:r>
        <w:t xml:space="preserve">Member States support interdisciplinary AI research including ethics, social sciences, and humanities, and encourage private sector data sharing for research under privacy standards.</w:t>
      </w:r>
    </w:p>
    <w:p>
      <w:pPr>
        <w:pStyle w:val="Compact"/>
        <w:numPr>
          <w:ilvl w:val="0"/>
          <w:numId w:val="1002"/>
        </w:numPr>
      </w:pPr>
      <w:r>
        <w:t xml:space="preserve">Member States invest in media and information literacy to counter disinformation, misinformation, and hate speech related to AI systems.</w:t>
      </w:r>
    </w:p>
    <w:p>
      <w:pPr>
        <w:pStyle w:val="Compact"/>
        <w:numPr>
          <w:ilvl w:val="0"/>
          <w:numId w:val="1002"/>
        </w:numPr>
      </w:pPr>
      <w:r>
        <w:t xml:space="preserve">Member States assess and address AI impacts on labor markets, including upskilling and reskilling programs, social protection measures, and collaboration among governments, academia, industry, and civil society.</w:t>
      </w:r>
    </w:p>
    <w:p>
      <w:pPr>
        <w:pStyle w:val="Compact"/>
        <w:numPr>
          <w:ilvl w:val="0"/>
          <w:numId w:val="1002"/>
        </w:numPr>
      </w:pPr>
      <w:r>
        <w:t xml:space="preserve">Member States promote gender equality in AI through dedicated funding, gender action plans, incentives for female participation in STEM and AI research, and policies against harassment and stereotyping.</w:t>
      </w:r>
    </w:p>
    <w:p>
      <w:pPr>
        <w:pStyle w:val="Compact"/>
        <w:numPr>
          <w:ilvl w:val="0"/>
          <w:numId w:val="1002"/>
        </w:numPr>
      </w:pPr>
      <w:r>
        <w:t xml:space="preserve">Member States encourage the use of AI in preserving and promoting cultural heritage, including endangered languages, and support AI education for artists and cultural professionals.</w:t>
      </w:r>
    </w:p>
    <w:p>
      <w:pPr>
        <w:pStyle w:val="Compact"/>
        <w:numPr>
          <w:ilvl w:val="0"/>
          <w:numId w:val="1002"/>
        </w:numPr>
      </w:pPr>
      <w:r>
        <w:t xml:space="preserve">Member States promote transparency, explainability, accountability, and auditability of AI systems, including mechanisms for public participation and remedy against discrimination and bias.</w:t>
      </w:r>
    </w:p>
    <w:p>
      <w:pPr>
        <w:pStyle w:val="Compact"/>
        <w:numPr>
          <w:ilvl w:val="0"/>
          <w:numId w:val="1002"/>
        </w:numPr>
      </w:pPr>
      <w:r>
        <w:t xml:space="preserve">UNESCO supports Member States in monitoring and evaluating AI ethics policies through developing methodologies, capacity building, data collection, and dissemination of best practices.</w:t>
      </w:r>
    </w:p>
    <w:p>
      <w:pPr>
        <w:pStyle w:val="Compact"/>
        <w:numPr>
          <w:ilvl w:val="0"/>
          <w:numId w:val="1002"/>
        </w:numPr>
      </w:pPr>
      <w:r>
        <w:t xml:space="preserve">Member States are encouraged to establish ethics commissions, AI ethics observatories, and regulatory sandboxes to monitor adherence to AI ethical principles and policies.</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2025-06-19T15:09:28Z</dcterms:created>
  <dcterms:modified xsi:type="dcterms:W3CDTF">2025-06-19T15:09:28Z</dcterms:modified>
</cp:coreProperties>
</file>

<file path=docProps/custom.xml><?xml version="1.0" encoding="utf-8"?>
<Properties xmlns="http://schemas.openxmlformats.org/officeDocument/2006/custom-properties" xmlns:vt="http://schemas.openxmlformats.org/officeDocument/2006/docPropsVTypes"/>
</file>