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07a2610d77f005860f24473c96b0ca708a943a"/>
    <w:p>
      <w:pPr>
        <w:pStyle w:val="Heading1"/>
      </w:pPr>
      <w:r>
        <w:t xml:space="preserve">Council Conclusions on the 4th International Conference on Small Island Developing States (SIDS) 2024</w:t>
      </w:r>
    </w:p>
    <w:p>
      <w:pPr>
        <w:pStyle w:val="FirstParagraph"/>
      </w:pPr>
      <w:r>
        <w:rPr>
          <w:b/>
          <w:bCs/>
        </w:rPr>
        <w:t xml:space="preserve">Date</w:t>
      </w:r>
      <w:r>
        <w:t xml:space="preserve">: 2024-05-27</w:t>
      </w:r>
    </w:p>
    <w:p>
      <w:pPr>
        <w:pStyle w:val="BodyText"/>
      </w:pPr>
      <w:r>
        <w:rPr>
          <w:b/>
          <w:bCs/>
        </w:rPr>
        <w:t xml:space="preserve">Location</w:t>
      </w:r>
      <w:r>
        <w:t xml:space="preserve">: Antigua and Barbuda</w:t>
      </w:r>
    </w:p>
    <w:bookmarkStart w:id="20" w:name="executive-summary"/>
    <w:p>
      <w:pPr>
        <w:pStyle w:val="Heading2"/>
      </w:pPr>
      <w:r>
        <w:t xml:space="preserve">Executive Summary</w:t>
      </w:r>
    </w:p>
    <w:p>
      <w:pPr>
        <w:pStyle w:val="FirstParagraph"/>
      </w:pPr>
      <w:r>
        <w:t xml:space="preserve">The EU and its Member States welcome the 4th International Conference on Small Island Developing States (SIDS) in May 2024, emphasizing the theme</w:t>
      </w:r>
      <w:r>
        <w:t xml:space="preserve"> </w:t>
      </w:r>
      <w:r>
        <w:t xml:space="preserve">“Charting the Course Toward Resilient Prosperity.”</w:t>
      </w:r>
      <w:r>
        <w:t xml:space="preserve"> </w:t>
      </w:r>
      <w:r>
        <w:t xml:space="preserve">Recognizing SIDS’ vulnerability to climate change, environmental degradation, and socio-economic challenges, the EU commits to strengthening partnerships, supporting sustainable development, and advancing climate action. Key initiatives include endorsing the Multidimensional Vulnerability Index, enhancing digital transformation, and mobilizing innovative financing. The EU highlights its significant financial support, including over EUR 1.2 billion in bilateral aid and EUR 3.47 billion via the European Investment Bank. Cooperation frameworks like the new EU-OACPS Partnership Agreement and regional protocols aim to tailor support to SIDS’ diverse needs. The EU also prioritizes disaster preparedness, ocean protection, and inclusive climate policies, pledging continued collaboration to implement the SAMOA Pathway and global commitments, ensuring SIDS’ resilience and prosperity by 2034 and beyond.</w:t>
      </w:r>
    </w:p>
    <w:bookmarkEnd w:id="20"/>
    <w:bookmarkStart w:id="21" w:name="characteristics"/>
    <w:p>
      <w:pPr>
        <w:pStyle w:val="Heading2"/>
      </w:pPr>
      <w:r>
        <w:t xml:space="preserve">Characteristics</w:t>
      </w:r>
    </w:p>
    <w:p>
      <w:pPr>
        <w:pStyle w:val="Compact"/>
        <w:numPr>
          <w:ilvl w:val="0"/>
          <w:numId w:val="1001"/>
        </w:numPr>
      </w:pPr>
      <w:r>
        <w:t xml:space="preserve">The EU strongly supports the 4th International Conference on SIDS (May 2024) and designates 2024 as the International Year of SIDS to mainstream their perspectives globally.</w:t>
      </w:r>
    </w:p>
    <w:p>
      <w:pPr>
        <w:pStyle w:val="Compact"/>
        <w:numPr>
          <w:ilvl w:val="0"/>
          <w:numId w:val="1001"/>
        </w:numPr>
      </w:pPr>
      <w:r>
        <w:t xml:space="preserve">SIDS face disproportionate vulnerabilities due to small size, remoteness, and climate change impacts like sea-level rise, marine pollution, and biodiversity loss.</w:t>
      </w:r>
    </w:p>
    <w:p>
      <w:pPr>
        <w:pStyle w:val="Compact"/>
        <w:numPr>
          <w:ilvl w:val="0"/>
          <w:numId w:val="1001"/>
        </w:numPr>
      </w:pPr>
      <w:r>
        <w:t xml:space="preserve">The EU collaborates closely with SIDS on climate action, sustainable blue economies, biodiversity protection, and digital transformation, emphasizing inclusive and equitable development.</w:t>
      </w:r>
    </w:p>
    <w:p>
      <w:pPr>
        <w:pStyle w:val="Compact"/>
        <w:numPr>
          <w:ilvl w:val="0"/>
          <w:numId w:val="1001"/>
        </w:numPr>
      </w:pPr>
      <w:r>
        <w:t xml:space="preserve">The EU funds over EUR 1.2 billion in bilateral and multilateral aid to SIDS, supports disaster preparedness, and promotes private sector investment through initiatives like EFSD+.</w:t>
      </w:r>
    </w:p>
    <w:p>
      <w:pPr>
        <w:pStyle w:val="Compact"/>
        <w:numPr>
          <w:ilvl w:val="0"/>
          <w:numId w:val="1001"/>
        </w:numPr>
      </w:pPr>
      <w:r>
        <w:t xml:space="preserve">The EU values partnerships with SIDS in UN climate negotiations, supports innovative financing, and fosters regional cooperation via the new EU-OACPS Partnership Agreement.</w:t>
      </w:r>
    </w:p>
    <w:p>
      <w:pPr>
        <w:pStyle w:val="Compact"/>
        <w:numPr>
          <w:ilvl w:val="0"/>
          <w:numId w:val="1001"/>
        </w:numPr>
      </w:pPr>
      <w:r>
        <w:t xml:space="preserve">The EU commits to ongoing dialogue, capacity building, and cooperation on priority areas including climate change, energy, environment, and access to finance for SIDS development.</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Council; United Nations; United Nations Officials; Organisation of African, Caribbean and Pacific States; EU Delegations</w:t>
            </w:r>
          </w:p>
        </w:tc>
      </w:tr>
      <w:tr>
        <w:tc>
          <w:tcPr/>
          <w:p>
            <w:pPr>
              <w:pStyle w:val="Compact"/>
            </w:pPr>
            <w:r>
              <w:t xml:space="preserve">Research and Innovation Actors</w:t>
            </w:r>
          </w:p>
        </w:tc>
        <w:tc>
          <w:tcPr/>
          <w:p>
            <w:pPr>
              <w:pStyle w:val="Compact"/>
            </w:pPr>
            <w:r>
              <w:t xml:space="preserve">Digital for Development Hub</w:t>
            </w:r>
          </w:p>
        </w:tc>
      </w:tr>
      <w:tr>
        <w:tc>
          <w:tcPr/>
          <w:p>
            <w:pPr>
              <w:pStyle w:val="Compact"/>
            </w:pPr>
            <w:r>
              <w:t xml:space="preserve">Economic Actors</w:t>
            </w:r>
          </w:p>
        </w:tc>
        <w:tc>
          <w:tcPr/>
          <w:p>
            <w:pPr>
              <w:pStyle w:val="Compact"/>
            </w:pPr>
            <w:r>
              <w:t xml:space="preserve">Private Sector Representatives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Global Digital Cooperation; Multilateralism</w:t>
            </w:r>
          </w:p>
        </w:tc>
      </w:tr>
      <w:tr>
        <w:tc>
          <w:tcPr/>
          <w:p>
            <w:pPr>
              <w:pStyle w:val="Compact"/>
            </w:pPr>
            <w:r>
              <w:t xml:space="preserve">Digital Transformation &amp; Strategy</w:t>
            </w:r>
          </w:p>
        </w:tc>
        <w:tc>
          <w:tcPr/>
          <w:p>
            <w:pPr>
              <w:pStyle w:val="Compact"/>
            </w:pPr>
            <w:r>
              <w:t xml:space="preserve">Digital Acceleration; Digital Infrastructure; Digital Platforms</w:t>
            </w:r>
          </w:p>
        </w:tc>
      </w:tr>
      <w:tr>
        <w:tc>
          <w:tcPr/>
          <w:p>
            <w:pPr>
              <w:pStyle w:val="Compact"/>
            </w:pPr>
            <w:r>
              <w:t xml:space="preserve">Inclusion &amp; Social Development</w:t>
            </w:r>
          </w:p>
        </w:tc>
        <w:tc>
          <w:tcPr/>
          <w:p>
            <w:pPr>
              <w:pStyle w:val="Compact"/>
            </w:pPr>
            <w:r>
              <w:t xml:space="preserve">Digital Inclusion</w:t>
            </w:r>
          </w:p>
        </w:tc>
      </w:tr>
    </w:tbl>
    <w:bookmarkEnd w:id="23"/>
    <w:bookmarkStart w:id="24" w:name="practical-applications"/>
    <w:p>
      <w:pPr>
        <w:pStyle w:val="Heading2"/>
      </w:pPr>
      <w:r>
        <w:t xml:space="preserve">Practical Applications</w:t>
      </w:r>
    </w:p>
    <w:p>
      <w:pPr>
        <w:pStyle w:val="Compact"/>
        <w:numPr>
          <w:ilvl w:val="0"/>
          <w:numId w:val="1002"/>
        </w:numPr>
      </w:pPr>
      <w:r>
        <w:t xml:space="preserve">The EU and its Member States are funding more than EUR 1.2 billion in bilateral Official Development Assistance (ODA) and contributions through multilateral organizations to support SIDS in 2022.</w:t>
      </w:r>
    </w:p>
    <w:p>
      <w:pPr>
        <w:pStyle w:val="Compact"/>
        <w:numPr>
          <w:ilvl w:val="0"/>
          <w:numId w:val="1002"/>
        </w:numPr>
      </w:pPr>
      <w:r>
        <w:t xml:space="preserve">Under the Global Gateway strategy, the EU and its Member States, as Team Europe, are partnering with SIDS through investments in digital, environment, climate and energy, transport, health, education, and research.</w:t>
      </w:r>
    </w:p>
    <w:p>
      <w:pPr>
        <w:pStyle w:val="Compact"/>
        <w:numPr>
          <w:ilvl w:val="0"/>
          <w:numId w:val="1002"/>
        </w:numPr>
      </w:pPr>
      <w:r>
        <w:t xml:space="preserve">The EU funds strategic flagship initiatives benefiting SIDS, such as the Global Green Bonds Initiative, the ‘Green Blue Alliance for the Pacific’, and efforts to address the Sargassum algae plague in the Caribbean.</w:t>
      </w:r>
    </w:p>
    <w:p>
      <w:pPr>
        <w:pStyle w:val="Compact"/>
        <w:numPr>
          <w:ilvl w:val="0"/>
          <w:numId w:val="1002"/>
        </w:numPr>
      </w:pPr>
      <w:r>
        <w:t xml:space="preserve">The European Investment Bank has provided EUR 3.47 billion in credit lines to local credit institutions in SIDS to support SMEs, infrastructure investments, and sectors including energy, services, health, education, agriculture, and fisheries.</w:t>
      </w:r>
    </w:p>
    <w:p>
      <w:pPr>
        <w:pStyle w:val="Compact"/>
        <w:numPr>
          <w:ilvl w:val="0"/>
          <w:numId w:val="1002"/>
        </w:numPr>
      </w:pPr>
      <w:r>
        <w:t xml:space="preserve">The EU funds a EUR 35 billion program supporting African, Caribbean, and Pacific SIDS and coastal countries, including the Biospace program in the Caribbean, the Bioscape program in the Pacific, and support to the Critical Ecosystems Partnership Fund in the Western Indian Ocean.</w:t>
      </w:r>
    </w:p>
    <w:p>
      <w:pPr>
        <w:pStyle w:val="Compact"/>
        <w:numPr>
          <w:ilvl w:val="0"/>
          <w:numId w:val="1002"/>
        </w:numPr>
      </w:pPr>
      <w:r>
        <w:t xml:space="preserve">The EU’s humanitarian Disaster Preparedness Programme has supported national authorities and local communities in SIDS for three decades to anticipate, respond, and recover from natural disasters.</w:t>
      </w:r>
    </w:p>
    <w:p>
      <w:pPr>
        <w:pStyle w:val="Compact"/>
        <w:numPr>
          <w:ilvl w:val="0"/>
          <w:numId w:val="1002"/>
        </w:numPr>
      </w:pPr>
      <w:r>
        <w:t xml:space="preserve">A Memorandum of Understanding on Disaster Risk Management between the EU and Latin America and the Caribbean is to be signed in 2024, alongside launching a series of EU-LAC dialogues on disaster preparedness.</w:t>
      </w:r>
    </w:p>
    <w:p>
      <w:pPr>
        <w:pStyle w:val="Compact"/>
        <w:numPr>
          <w:ilvl w:val="0"/>
          <w:numId w:val="1002"/>
        </w:numPr>
      </w:pPr>
      <w:r>
        <w:t xml:space="preserve">The EU supports the UN Secretary General’s ‘Early Warnings for All’ initiative, focusing on closing data gaps for weather and climate observations from SIDS and ensuring appropriate local warnings.</w:t>
      </w:r>
    </w:p>
    <w:p>
      <w:pPr>
        <w:pStyle w:val="Compact"/>
        <w:numPr>
          <w:ilvl w:val="0"/>
          <w:numId w:val="1002"/>
        </w:numPr>
      </w:pPr>
      <w:r>
        <w:t xml:space="preserve">The EU works through the Digital for Development Hub (D4D Hub) to advance dialogue with partner regions, including the Caribbean and Pacific, to foster human-centered and sustainable digital transformation.</w:t>
      </w:r>
    </w:p>
    <w:p>
      <w:pPr>
        <w:pStyle w:val="Compact"/>
        <w:numPr>
          <w:ilvl w:val="0"/>
          <w:numId w:val="1002"/>
        </w:numPr>
      </w:pPr>
      <w:r>
        <w:t xml:space="preserve">The European Fund for Sustainable Development Plus (EFSD+) provides guarantees to private sector investors through development financing institutions to leverage private sector investments in SIDS.</w:t>
      </w:r>
    </w:p>
    <w:p>
      <w:pPr>
        <w:pStyle w:val="Compact"/>
        <w:numPr>
          <w:ilvl w:val="0"/>
          <w:numId w:val="1002"/>
        </w:numPr>
      </w:pPr>
      <w:r>
        <w:t xml:space="preserve">The new Partnership Agreement between the EU and the Organisation of African, Caribbean and Pacific States (OACPS), signed in November 2023, offers a framework for cooperation on human rights, democracy, climate change, environment, and ocean governance, particularly relevant for SIDS.</w:t>
      </w:r>
    </w:p>
    <w:p>
      <w:pPr>
        <w:pStyle w:val="Compact"/>
        <w:numPr>
          <w:ilvl w:val="0"/>
          <w:numId w:val="1002"/>
        </w:numPr>
      </w:pPr>
      <w:r>
        <w:t xml:space="preserve">The EU supports the implementation of the Kunming-Montreal Global Biodiversity Framework in SIDS through Green Partnerships and cooperation assistance.</w:t>
      </w:r>
    </w:p>
    <w:p>
      <w:pPr>
        <w:pStyle w:val="Compact"/>
        <w:numPr>
          <w:ilvl w:val="0"/>
          <w:numId w:val="1002"/>
        </w:numPr>
      </w:pPr>
      <w:r>
        <w:t xml:space="preserve">The EU and its Member States co-sponsored UN General Assembly Resolution 77/276 requesting an advisory opinion of the International Court of Justice on States’ obligations regarding climate change.</w:t>
      </w:r>
    </w:p>
    <w:p>
      <w:pPr>
        <w:pStyle w:val="Compact"/>
        <w:numPr>
          <w:ilvl w:val="0"/>
          <w:numId w:val="1002"/>
        </w:numPr>
      </w:pPr>
      <w:r>
        <w:t xml:space="preserve">The EU is working closely with SIDS to conclude by the end of 2024 negotiations on an ambitious International Legally Binding Instrument to end plastic pollution.</w:t>
      </w:r>
    </w:p>
    <w:p>
      <w:pPr>
        <w:pStyle w:val="Compact"/>
        <w:numPr>
          <w:ilvl w:val="0"/>
          <w:numId w:val="1002"/>
        </w:numPr>
      </w:pPr>
      <w:r>
        <w:t xml:space="preserve">The EU supports achieving land degradation neutrality by 2030 and welcomes COP16 to the UNCCD as a moment to accelerate action on land restoration, soil health, drought resilience, and green transition.</w:t>
      </w:r>
    </w:p>
    <w:p>
      <w:pPr>
        <w:pStyle w:val="Compact"/>
        <w:numPr>
          <w:ilvl w:val="0"/>
          <w:numId w:val="1002"/>
        </w:numPr>
      </w:pPr>
      <w:r>
        <w:t xml:space="preserve">The EU and its Member States have pledged significant support to the new fund for assisting developing countries vulnerable to climate change loss and damage, as well as to existing funding arrangements.</w:t>
      </w:r>
    </w:p>
    <w:p>
      <w:pPr>
        <w:pStyle w:val="Compact"/>
        <w:numPr>
          <w:ilvl w:val="0"/>
          <w:numId w:val="1002"/>
        </w:numPr>
      </w:pPr>
      <w:r>
        <w:t xml:space="preserve">The EU and its Member States collaborate with SIDS in developing and implementing ambitious Nationally Determined Contributions (NDCs) aligned with limiting global warming to 1.5°C, including economy-wide emission reduction targets.</w:t>
      </w:r>
    </w:p>
    <w:p>
      <w:pPr>
        <w:pStyle w:val="Compact"/>
        <w:numPr>
          <w:ilvl w:val="0"/>
          <w:numId w:val="1002"/>
        </w:numPr>
      </w:pPr>
      <w:r>
        <w:t xml:space="preserve">The EU supports reform efforts of the International Financial Architecture and multilateral development banks, building on the Paris Pact for People and the Planet (4P) and the Bridgetown Agenda 2.0.</w:t>
      </w:r>
    </w:p>
    <w:p>
      <w:pPr>
        <w:pStyle w:val="Compact"/>
        <w:numPr>
          <w:ilvl w:val="0"/>
          <w:numId w:val="1002"/>
        </w:numPr>
      </w:pPr>
      <w:r>
        <w:t xml:space="preserve">The EU promotes cooperation between SIDS and other islands, including the EU’s Outermost Regions (ORs) and Overseas Countries and Territories (OCTs), sharing common characteristics.</w:t>
      </w:r>
    </w:p>
    <w:bookmarkEnd w:id="24"/>
    <w:bookmarkStart w:id="25" w:name="commitments"/>
    <w:p>
      <w:pPr>
        <w:pStyle w:val="Heading2"/>
      </w:pPr>
      <w:r>
        <w:t xml:space="preserve">Commitments</w:t>
      </w:r>
    </w:p>
    <w:p>
      <w:pPr>
        <w:pStyle w:val="Compact"/>
        <w:numPr>
          <w:ilvl w:val="0"/>
          <w:numId w:val="1003"/>
        </w:numPr>
      </w:pPr>
      <w:r>
        <w:t xml:space="preserve">The EU and its Member States have pledged significant support to the new fund for assisting developing countries particularly vulnerable to the adverse effects of climate change in responding to loss and damage (no specific amount or deadline given).</w:t>
      </w:r>
    </w:p>
    <w:p>
      <w:pPr>
        <w:pStyle w:val="Compact"/>
        <w:numPr>
          <w:ilvl w:val="0"/>
          <w:numId w:val="1003"/>
        </w:numPr>
      </w:pPr>
      <w:r>
        <w:t xml:space="preserve">The EU and its Member States funded more than EUR 1.2 billion in bilateral Official Development Assistance (ODA) and contributions channeled through multilateral organizations to SIDS in 2022.</w:t>
      </w:r>
    </w:p>
    <w:p>
      <w:pPr>
        <w:pStyle w:val="Compact"/>
        <w:numPr>
          <w:ilvl w:val="0"/>
          <w:numId w:val="1003"/>
        </w:numPr>
      </w:pPr>
      <w:r>
        <w:t xml:space="preserve">The European Investment Bank funded EUR 3.47 billion to SIDS as of December 2022, supporting SMEs, infrastructure, energy, services, health, education, agriculture, and fisheries.</w:t>
      </w:r>
    </w:p>
    <w:p>
      <w:pPr>
        <w:pStyle w:val="Compact"/>
        <w:numPr>
          <w:ilvl w:val="0"/>
          <w:numId w:val="1003"/>
        </w:numPr>
      </w:pPr>
      <w:r>
        <w:t xml:space="preserve">The EU is funding a EUR 35 billion programme of support for African, Caribbean, and Pacific SIDS and coastal countries (no specific deadline given).</w:t>
      </w:r>
    </w:p>
    <w:p>
      <w:pPr>
        <w:pStyle w:val="Compact"/>
        <w:numPr>
          <w:ilvl w:val="0"/>
          <w:numId w:val="1003"/>
        </w:numPr>
      </w:pPr>
      <w:r>
        <w:t xml:space="preserve">The EU will conclude a Memorandum of Understanding on Disaster Risk Management between the EU and Latin America and the Caribbean to be signed in 2024.</w:t>
      </w:r>
    </w:p>
    <w:p>
      <w:pPr>
        <w:pStyle w:val="Compact"/>
        <w:numPr>
          <w:ilvl w:val="0"/>
          <w:numId w:val="1003"/>
        </w:numPr>
      </w:pPr>
      <w:r>
        <w:t xml:space="preserve">The EU aims to achieve land degradation neutrality by 2030.</w:t>
      </w:r>
    </w:p>
    <w:p>
      <w:pPr>
        <w:pStyle w:val="Compact"/>
        <w:numPr>
          <w:ilvl w:val="0"/>
          <w:numId w:val="1003"/>
        </w:numPr>
      </w:pPr>
      <w:r>
        <w:t xml:space="preserve">The EU will work closely with SIDS towards concluding by the end of 2024 negotiations on an ambitious International Legally Binding Instrument to end plastic pollution.</w:t>
      </w:r>
    </w:p>
    <w:p>
      <w:pPr>
        <w:pStyle w:val="Compact"/>
        <w:numPr>
          <w:ilvl w:val="0"/>
          <w:numId w:val="1003"/>
        </w:numPr>
      </w:pPr>
      <w:r>
        <w:t xml:space="preserve">The EU looks forward to the 4th International Conference on Financing for Development to be held in Spain in 2025.</w:t>
      </w:r>
    </w:p>
    <w:p>
      <w:pPr>
        <w:pStyle w:val="Compact"/>
        <w:numPr>
          <w:ilvl w:val="0"/>
          <w:numId w:val="1003"/>
        </w:numPr>
      </w:pPr>
      <w:r>
        <w:t xml:space="preserve">The EU and its Member States will continue to strengthen collaboration with partners in developing and implementing ambitious Nationally Determined Contributions (NDCs) aligned with limiting global warming to 1.5°C (no specific deadline given).</w:t>
      </w:r>
    </w:p>
    <w:p>
      <w:pPr>
        <w:pStyle w:val="Compact"/>
        <w:numPr>
          <w:ilvl w:val="0"/>
          <w:numId w:val="1003"/>
        </w:numPr>
      </w:pPr>
      <w:r>
        <w:t xml:space="preserve">The EU supports the swift ratification, entry into force, and implementation of the Biodiversity Beyond National Jurisdiction (BBNJ) Agreement, preparing for ambitious commitments at the 3rd UN Ocean Conference in June 2025.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2025-06-19T16:11:18Z</dcterms:created>
  <dcterms:modified xsi:type="dcterms:W3CDTF">2025-06-19T16:11:18Z</dcterms:modified>
</cp:coreProperties>
</file>

<file path=docProps/custom.xml><?xml version="1.0" encoding="utf-8"?>
<Properties xmlns="http://schemas.openxmlformats.org/officeDocument/2006/custom-properties" xmlns:vt="http://schemas.openxmlformats.org/officeDocument/2006/docPropsVTypes"/>
</file>