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f818d86e11788b99948b60b07c61417de9e697"/>
    <w:p>
      <w:pPr>
        <w:pStyle w:val="Heading1"/>
      </w:pPr>
      <w:r>
        <w:t xml:space="preserve">Dialogue on the Challenges and Opportunities of the Digital Transformation in Latin America and the Caribbean – Outcomes Report</w:t>
      </w:r>
    </w:p>
    <w:p>
      <w:pPr>
        <w:pStyle w:val="FirstParagraph"/>
      </w:pPr>
      <w:r>
        <w:rPr>
          <w:b/>
          <w:bCs/>
        </w:rPr>
        <w:t xml:space="preserve">Date</w:t>
      </w:r>
      <w:r>
        <w:t xml:space="preserve">: 2022-11-16</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BELLA II project, coordinated by RedCLARA, held a dialogue in Montevideo on November 16, 2022, addressing digital transformation challenges and opportunities in Latin America and the Caribbean (LAC). The initiative aims to strengthen digital infrastructure, foster cooperation with Europe, and promote human-centered digital development. Key outcomes highlighted the need for long-term, stable public policies, enhanced cooperation across sectors and regions, and robust training programs to build digital skills. Participants emphasized addressing the digital divide beyond connectivity, including cultural and educational aspects, and the importance of inclusive strategies, especially for women and indigenous peoples. The role of academia, national research networks, and RedCLARA in facilitating knowledge transfer, infrastructure access, and policy articulation was underscored. The dialogue also stressed the urgency of cybersecurity training and the development of interoperable platforms. These insights will guide BELLA II’s ongoing dialogue process, aiming to foster sustainable digital transformation and regional integration through collaborative projects and policy frameworks.</w:t>
      </w:r>
    </w:p>
    <w:bookmarkEnd w:id="20"/>
    <w:bookmarkStart w:id="21" w:name="characteristics"/>
    <w:p>
      <w:pPr>
        <w:pStyle w:val="Heading2"/>
      </w:pPr>
      <w:r>
        <w:t xml:space="preserve">Characteristics</w:t>
      </w:r>
    </w:p>
    <w:p>
      <w:pPr>
        <w:pStyle w:val="Compact"/>
        <w:numPr>
          <w:ilvl w:val="0"/>
          <w:numId w:val="1001"/>
        </w:numPr>
      </w:pPr>
      <w:r>
        <w:t xml:space="preserve">BELLA II, coordinated by RedCLARA, aims to strengthen Latin America and the Caribbean’s digital ecosystem by investing €28 million to enhance connectivity, digital transformation technologies, and cooperation with Europe.</w:t>
      </w:r>
    </w:p>
    <w:p>
      <w:pPr>
        <w:pStyle w:val="Compact"/>
        <w:numPr>
          <w:ilvl w:val="0"/>
          <w:numId w:val="1001"/>
        </w:numPr>
      </w:pPr>
      <w:r>
        <w:t xml:space="preserve">The project uses dialogues, including World Café methodology, to identify challenges, opportunities, and collaborative solutions involving diverse stakeholders from academia, government, private sector, and international organizations.</w:t>
      </w:r>
    </w:p>
    <w:p>
      <w:pPr>
        <w:pStyle w:val="Compact"/>
        <w:numPr>
          <w:ilvl w:val="0"/>
          <w:numId w:val="1001"/>
        </w:numPr>
      </w:pPr>
      <w:r>
        <w:t xml:space="preserve">Key challenges include the need for long-term public policies, improved cooperation frameworks, workforce training, digital divide reduction, infrastructure enhancement, and cybersecurity capacity building.</w:t>
      </w:r>
    </w:p>
    <w:p>
      <w:pPr>
        <w:pStyle w:val="Compact"/>
        <w:numPr>
          <w:ilvl w:val="0"/>
          <w:numId w:val="1001"/>
        </w:numPr>
      </w:pPr>
      <w:r>
        <w:t xml:space="preserve">Cooperation with European initiatives and institutions is emphasized to leverage experience, funding, and best practices, particularly in data regulation, interoperability, and digital education.</w:t>
      </w:r>
    </w:p>
    <w:p>
      <w:pPr>
        <w:pStyle w:val="Compact"/>
        <w:numPr>
          <w:ilvl w:val="0"/>
          <w:numId w:val="1001"/>
        </w:numPr>
      </w:pPr>
      <w:r>
        <w:t xml:space="preserve">The role of academia, national research and education networks, and RedCLARA is critical in fostering digital skills, knowledge transfer, and inclusive digital culture across the region.</w:t>
      </w:r>
    </w:p>
    <w:p>
      <w:pPr>
        <w:pStyle w:val="Compact"/>
        <w:numPr>
          <w:ilvl w:val="0"/>
          <w:numId w:val="1001"/>
        </w:numPr>
      </w:pPr>
      <w:r>
        <w:t xml:space="preserve">The dialogue outcomes will guide ongoing activities, including a web platform for continuous collaboration and a series of face-to-face meetings to advance the BELLA II project goals.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Commission; EU International Partnerships Directorate (DG-INTPA); European Union; EU Delegations; European Commission, multilateral banks (IDB, CAF, CABEI), the World Bank; Inter-American Development Bank; Development Bank of Latin America and the Caribbean (CAF); Central American Bank for Economic Integration (CABEI); World Bank; Organisation of Ibero-American States (OEI); United Nations Educational, Scientific and Cultural Organization (UNESCO)</w:t>
            </w:r>
          </w:p>
        </w:tc>
      </w:tr>
      <w:tr>
        <w:tc>
          <w:tcPr/>
          <w:p>
            <w:pPr>
              <w:pStyle w:val="Compact"/>
            </w:pPr>
            <w:r>
              <w:t xml:space="preserve">Research and Innovation Actors</w:t>
            </w:r>
          </w:p>
        </w:tc>
        <w:tc>
          <w:tcPr/>
          <w:p>
            <w:pPr>
              <w:pStyle w:val="Compact"/>
            </w:pPr>
            <w:r>
              <w:t xml:space="preserve">RedCLARA; National Research and Education Networks; Universities; European regional network; Latin American Cooperation of Advanced Networks; EU-LAC Digital Alliance; Copernicus Program; Estonian Information Systems Authority (RIA); German cooperation agency (GIZ); International Telecommunication Union (ITU); Digital Alliance; Estonian Ministry of Foreign Affairs; Academic Institutions; Research centres and high-tech labs; National Networks; Academic networks; Universities connected through national research and education networks; Berlin Declaration on Digital Society and Value-Based Digital Government; GovStack Initiative; European Commission initiatives; European Institute of Innovation and Technology (implied by innovation focus)</w:t>
            </w:r>
          </w:p>
        </w:tc>
      </w:tr>
      <w:tr>
        <w:tc>
          <w:tcPr/>
          <w:p>
            <w:pPr>
              <w:pStyle w:val="Compact"/>
            </w:pPr>
            <w:r>
              <w:t xml:space="preserve">Economic Actors</w:t>
            </w:r>
          </w:p>
        </w:tc>
        <w:tc>
          <w:tcPr/>
          <w:p>
            <w:pPr>
              <w:pStyle w:val="Compact"/>
            </w:pPr>
            <w:r>
              <w:t xml:space="preserve">Private Sector Representatives; Technology companies; Service providers; Telecommunication Companies; Digital Companies; Financial sector</w:t>
            </w:r>
          </w:p>
        </w:tc>
      </w:tr>
      <w:tr>
        <w:tc>
          <w:tcPr/>
          <w:p>
            <w:pPr>
              <w:pStyle w:val="Compact"/>
            </w:pPr>
            <w:r>
              <w:t xml:space="preserve">Civil Society Actors</w:t>
            </w:r>
          </w:p>
        </w:tc>
        <w:tc>
          <w:tcPr/>
          <w:p>
            <w:pPr>
              <w:pStyle w:val="Compact"/>
            </w:pPr>
            <w:r>
              <w:t xml:space="preserve">Digital Training and Education Providers; Digital Skills Development Platforms; Digital Literacy Initiatives; 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Infrastructure; Digital Ecosystem</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EU-LAC Digital Alliance;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BELLA II project investing €28 million to design, build, and operate digital infrastructure connecting Peru, Costa Rica, Guatemala, El Salvador, and Honduras with the existing BELLA infrastructure and the Europe-Latin America submarine cable, with potential expansion to other LAC countries.</w:t>
      </w:r>
    </w:p>
    <w:p>
      <w:pPr>
        <w:pStyle w:val="Compact"/>
        <w:numPr>
          <w:ilvl w:val="0"/>
          <w:numId w:val="1002"/>
        </w:numPr>
      </w:pPr>
      <w:r>
        <w:t xml:space="preserve">Implementation of dialogues (face-to-face and virtual using World Café methodology and Miro platform) across LAC and Europe to identify challenges, opportunities, and co-create digital transformation initiatives.</w:t>
      </w:r>
    </w:p>
    <w:p>
      <w:pPr>
        <w:pStyle w:val="Compact"/>
        <w:numPr>
          <w:ilvl w:val="0"/>
          <w:numId w:val="1002"/>
        </w:numPr>
      </w:pPr>
      <w:r>
        <w:t xml:space="preserve">Coordination by RedCLARA to articulate national research and education networks, universities, governments, and private sector stakeholders to promote digital transformation.</w:t>
      </w:r>
    </w:p>
    <w:p>
      <w:pPr>
        <w:pStyle w:val="Compact"/>
        <w:numPr>
          <w:ilvl w:val="0"/>
          <w:numId w:val="1002"/>
        </w:numPr>
      </w:pPr>
      <w:r>
        <w:t xml:space="preserve">Memorandum of Understanding between RedCLARA and the Estonian Information Systems Authority (RIA) to promote cooperation in cybersecurity.</w:t>
      </w:r>
    </w:p>
    <w:p>
      <w:pPr>
        <w:pStyle w:val="Compact"/>
        <w:numPr>
          <w:ilvl w:val="0"/>
          <w:numId w:val="1002"/>
        </w:numPr>
      </w:pPr>
      <w:r>
        <w:t xml:space="preserve">Adoption of European Union digital initiatives such as the Berlin Declaration on Digital Society and Value-Based Digital Government, Estonia’s X-Road, Interoperable Europe, and the GovStack Initiative for reusable and shareable digital products and services.</w:t>
      </w:r>
    </w:p>
    <w:p>
      <w:pPr>
        <w:pStyle w:val="Compact"/>
        <w:numPr>
          <w:ilvl w:val="0"/>
          <w:numId w:val="1002"/>
        </w:numPr>
      </w:pPr>
      <w:r>
        <w:t xml:space="preserve">Development of a web platform by BELLA II to manage information, dialogue, and collaboration among stakeholders.</w:t>
      </w:r>
    </w:p>
    <w:p>
      <w:pPr>
        <w:pStyle w:val="Compact"/>
        <w:numPr>
          <w:ilvl w:val="0"/>
          <w:numId w:val="1002"/>
        </w:numPr>
      </w:pPr>
      <w:r>
        <w:t xml:space="preserve">Planned organization of ten face-to-face dialogue meetings in the first year of BELLA II to foster ongoing engagement.</w:t>
      </w:r>
    </w:p>
    <w:p>
      <w:pPr>
        <w:pStyle w:val="Compact"/>
        <w:numPr>
          <w:ilvl w:val="0"/>
          <w:numId w:val="1002"/>
        </w:numPr>
      </w:pPr>
      <w:r>
        <w:t xml:space="preserve">Promotion of long-term public policies with measurable indicators for digital transformation, inspired by EU experiences.</w:t>
      </w:r>
    </w:p>
    <w:p>
      <w:pPr>
        <w:pStyle w:val="Compact"/>
        <w:numPr>
          <w:ilvl w:val="0"/>
          <w:numId w:val="1002"/>
        </w:numPr>
      </w:pPr>
      <w:r>
        <w:t xml:space="preserve">Cooperation with multilateral organizations (European Commission, IDB, CAF, CABEI, World Bank) to develop joint initiatives aligned with regional development agendas.</w:t>
      </w:r>
    </w:p>
    <w:p>
      <w:pPr>
        <w:pStyle w:val="Compact"/>
        <w:numPr>
          <w:ilvl w:val="0"/>
          <w:numId w:val="1002"/>
        </w:numPr>
      </w:pPr>
      <w:r>
        <w:t xml:space="preserve">Training programs and capacity building initiatives for digital skills, including accelerated ICT professional training, continuing education for teachers and researchers, regional doctoral programs, and digital literacy for citizens.</w:t>
      </w:r>
    </w:p>
    <w:p>
      <w:pPr>
        <w:pStyle w:val="Compact"/>
        <w:numPr>
          <w:ilvl w:val="0"/>
          <w:numId w:val="1002"/>
        </w:numPr>
      </w:pPr>
      <w:r>
        <w:t xml:space="preserve">Inclusion and development of competencies in science and digital culture among girls, women, and indigenous peoples.</w:t>
      </w:r>
    </w:p>
    <w:p>
      <w:pPr>
        <w:pStyle w:val="Compact"/>
        <w:numPr>
          <w:ilvl w:val="0"/>
          <w:numId w:val="1002"/>
        </w:numPr>
      </w:pPr>
      <w:r>
        <w:t xml:space="preserve">Facilitation of remote access to high-tech research infrastructure and labs in Latin America and Europe through national research and education networks.</w:t>
      </w:r>
    </w:p>
    <w:p>
      <w:pPr>
        <w:pStyle w:val="Compact"/>
        <w:numPr>
          <w:ilvl w:val="0"/>
          <w:numId w:val="1002"/>
        </w:numPr>
      </w:pPr>
      <w:r>
        <w:t xml:space="preserve">Promotion of interdisciplinary communities of practice around technology issues such as health, climate change, and agriculture.</w:t>
      </w:r>
    </w:p>
    <w:p>
      <w:pPr>
        <w:pStyle w:val="Compact"/>
        <w:numPr>
          <w:ilvl w:val="0"/>
          <w:numId w:val="1002"/>
        </w:numPr>
      </w:pPr>
      <w:r>
        <w:t xml:space="preserve">Advocacy for regional governance models to harmonize regulations, legislation, and standardization to facilitate regional digital initiatives.</w:t>
      </w:r>
    </w:p>
    <w:p>
      <w:pPr>
        <w:pStyle w:val="Compact"/>
        <w:numPr>
          <w:ilvl w:val="0"/>
          <w:numId w:val="1002"/>
        </w:numPr>
      </w:pPr>
      <w:r>
        <w:t xml:space="preserve">Support for language courses and regional mobility programs to enhance international experience and collaboration among students and researchers.</w:t>
      </w:r>
    </w:p>
    <w:p>
      <w:pPr>
        <w:pStyle w:val="Compact"/>
        <w:numPr>
          <w:ilvl w:val="0"/>
          <w:numId w:val="1002"/>
        </w:numPr>
      </w:pPr>
      <w:r>
        <w:t xml:space="preserve">Emphasis on secure, accessible, and massive connectivity with budget provisions for network installation and maintenance.</w:t>
      </w:r>
    </w:p>
    <w:p>
      <w:pPr>
        <w:pStyle w:val="Compact"/>
        <w:numPr>
          <w:ilvl w:val="0"/>
          <w:numId w:val="1002"/>
        </w:numPr>
      </w:pPr>
      <w:r>
        <w:t xml:space="preserve">Engagement of universities with local governments to co-create technological solutions for vulnerable and marginalized communities.</w:t>
      </w:r>
    </w:p>
    <w:p>
      <w:pPr>
        <w:pStyle w:val="Compact"/>
        <w:numPr>
          <w:ilvl w:val="0"/>
          <w:numId w:val="1002"/>
        </w:numPr>
      </w:pPr>
      <w:r>
        <w:t xml:space="preserve">Production of a roadmap of collaborative initiatives and projects supporting planetary survival needs, with academic networks as central actors.</w:t>
      </w:r>
    </w:p>
    <w:bookmarkEnd w:id="24"/>
    <w:bookmarkStart w:id="25" w:name="commitments"/>
    <w:p>
      <w:pPr>
        <w:pStyle w:val="Heading2"/>
      </w:pPr>
      <w:r>
        <w:t xml:space="preserve">Commitments</w:t>
      </w:r>
    </w:p>
    <w:p>
      <w:pPr>
        <w:pStyle w:val="Compact"/>
        <w:numPr>
          <w:ilvl w:val="0"/>
          <w:numId w:val="1003"/>
        </w:numPr>
      </w:pPr>
      <w:r>
        <w:t xml:space="preserve">BELLA II project will invest twenty-eight million euros to design, build, and operate digital infrastructure connecting Peru, Costa Rica, Guatemala, El Salvador, and Honduras with the rest of the BELLA infrastructure, with potential expansion to other countries depending on feasibility and resources.</w:t>
      </w:r>
    </w:p>
    <w:p>
      <w:pPr>
        <w:pStyle w:val="Compact"/>
        <w:numPr>
          <w:ilvl w:val="0"/>
          <w:numId w:val="1003"/>
        </w:numPr>
      </w:pPr>
      <w:r>
        <w:t xml:space="preserve">During the first quarter of the year following the November 2022 dialogue, a web platform will be put into operation to manage information and maintain ongoing dialogue beyond face-to-face activities.</w:t>
      </w:r>
    </w:p>
    <w:p>
      <w:pPr>
        <w:pStyle w:val="Compact"/>
        <w:numPr>
          <w:ilvl w:val="0"/>
          <w:numId w:val="1003"/>
        </w:numPr>
      </w:pPr>
      <w:r>
        <w:t xml:space="preserve">A planning session will be held in March (year following 2022) prior to the start of the project, by which time the initiation report and proposed governance model will be ready, and production of a white paper summarizing the first year of dialogues will have started.</w:t>
      </w:r>
    </w:p>
    <w:p>
      <w:pPr>
        <w:pStyle w:val="Compact"/>
        <w:numPr>
          <w:ilvl w:val="0"/>
          <w:numId w:val="1003"/>
        </w:numPr>
      </w:pPr>
      <w:r>
        <w:t xml:space="preserve">Starting in April (year following 2022), ten face-to-face dialogue meetings will be held during the first year of the BELLA II project; venues and dates to be defined at the March planning meeting and published on the project management platform.</w:t>
      </w:r>
    </w:p>
    <w:p>
      <w:pPr>
        <w:pStyle w:val="Compact"/>
        <w:numPr>
          <w:ilvl w:val="0"/>
          <w:numId w:val="1003"/>
        </w:numPr>
      </w:pPr>
      <w:r>
        <w:t xml:space="preserve">By 2030, the region is expected to have a deficit of trained individuals with specific technical skills essential for digital transformation, highlighting the need for accelerated training programs in areas such as cybersecurity.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2025-06-19T16:15:26Z</dcterms:created>
  <dcterms:modified xsi:type="dcterms:W3CDTF">2025-06-19T16:15:26Z</dcterms:modified>
</cp:coreProperties>
</file>

<file path=docProps/custom.xml><?xml version="1.0" encoding="utf-8"?>
<Properties xmlns="http://schemas.openxmlformats.org/officeDocument/2006/custom-properties" xmlns:vt="http://schemas.openxmlformats.org/officeDocument/2006/docPropsVTypes"/>
</file>