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611d21107402c798872ec06a09284086e95ae8"/>
    <w:p>
      <w:pPr>
        <w:pStyle w:val="Heading1"/>
      </w:pPr>
      <w:r>
        <w:t xml:space="preserve">BELLA II Strategic Dialogues Workshops in Central America: Advancing Digital Ecosystems and Connectivity for Socioeconomic Development</w:t>
      </w:r>
    </w:p>
    <w:p>
      <w:pPr>
        <w:pStyle w:val="FirstParagraph"/>
      </w:pPr>
      <w:r>
        <w:rPr>
          <w:b/>
          <w:bCs/>
        </w:rPr>
        <w:t xml:space="preserve">Date</w:t>
      </w:r>
      <w:r>
        <w:t xml:space="preserve">: 2023-11-15</w:t>
      </w:r>
    </w:p>
    <w:p>
      <w:pPr>
        <w:pStyle w:val="BodyText"/>
      </w:pPr>
      <w:r>
        <w:rPr>
          <w:b/>
          <w:bCs/>
        </w:rPr>
        <w:t xml:space="preserve">Location</w:t>
      </w:r>
      <w:r>
        <w:t xml:space="preserve">: The principal location where the event/document originates is Panama City, Panama.</w:t>
      </w:r>
    </w:p>
    <w:bookmarkStart w:id="20" w:name="executive-summary"/>
    <w:p>
      <w:pPr>
        <w:pStyle w:val="Heading2"/>
      </w:pPr>
      <w:r>
        <w:t xml:space="preserve">Executive Summary</w:t>
      </w:r>
    </w:p>
    <w:p>
      <w:pPr>
        <w:pStyle w:val="FirstParagraph"/>
      </w:pPr>
      <w:r>
        <w:t xml:space="preserve">The BELLA II project, funded by the EU and coordinated by RedCLARA, held strategic dialogues in El Salvador (October 2023) and Panama (November 2023) to strengthen the digital ecosystem in Latin America and the Caribbean (LAC). These workshops engaged diverse stakeholders—governments, academia, industry, and civil society—to co-design strategies for meaningful connectivity, digital transformation, and socio-economic development. The Panama workshop, part of TICAL2023, focused on universities and National Research and Education Networks (NRENs), addressing challenges like digital transformation, learning paradigms, open science, and interdisciplinary collaboration. Key outcomes included a strategic vision emphasizing continental articulation, continuous dialogue, data-driven innovation, social transformation, and public-private collaboration. Five working groups developed a roadmap covering public policies, funding access, human talent development, innovation, and digital ecosystem infrastructure. RedCLARA aims to position itself as an intelligent meta-organization fostering co-production of value and innovation through meaningful connectivity, integrating hard infrastructure and social technologies to drive sustainable digital transformation in the region.</w:t>
      </w:r>
    </w:p>
    <w:bookmarkEnd w:id="20"/>
    <w:bookmarkStart w:id="21" w:name="characteristics"/>
    <w:p>
      <w:pPr>
        <w:pStyle w:val="Heading2"/>
      </w:pPr>
      <w:r>
        <w:t xml:space="preserve">Characteristics</w:t>
      </w:r>
    </w:p>
    <w:p>
      <w:pPr>
        <w:pStyle w:val="Compact"/>
        <w:numPr>
          <w:ilvl w:val="0"/>
          <w:numId w:val="1001"/>
        </w:numPr>
      </w:pPr>
      <w:r>
        <w:t xml:space="preserve">BELLA II Strategic Dialogues focus on consolidating a digital ecosystem in Latin America and the Caribbean (LAC) to promote meaningful connectivity, innovation, and socio-economic development through collaboration among academia, industry, government, and civil society.</w:t>
      </w:r>
    </w:p>
    <w:p>
      <w:pPr>
        <w:pStyle w:val="Compact"/>
        <w:numPr>
          <w:ilvl w:val="0"/>
          <w:numId w:val="1001"/>
        </w:numPr>
      </w:pPr>
      <w:r>
        <w:t xml:space="preserve">Workshops in El Salvador and Panama engaged diverse stakeholders to co-design strategies, identify opportunities, and develop roadmaps for digital transformation, emphasizing open communication and collective exploration.</w:t>
      </w:r>
    </w:p>
    <w:p>
      <w:pPr>
        <w:pStyle w:val="Compact"/>
        <w:numPr>
          <w:ilvl w:val="0"/>
          <w:numId w:val="1001"/>
        </w:numPr>
      </w:pPr>
      <w:r>
        <w:t xml:space="preserve">The Panama workshop highlighted challenges in digital transformation, strategic vision formulation, and roadmap development across five axes: public policies, funding access, human talent, innovation, and digital ecosystem infrastructure.</w:t>
      </w:r>
    </w:p>
    <w:p>
      <w:pPr>
        <w:pStyle w:val="Compact"/>
        <w:numPr>
          <w:ilvl w:val="0"/>
          <w:numId w:val="1001"/>
        </w:numPr>
      </w:pPr>
      <w:r>
        <w:t xml:space="preserve">RedCLARA, as a meta-organization of National Research and Education Networks (NRENs), plays a central role in fostering collaboration, managing digital infrastructure, and driving innovation ecosystems in the region.</w:t>
      </w:r>
    </w:p>
    <w:p>
      <w:pPr>
        <w:pStyle w:val="Compact"/>
        <w:numPr>
          <w:ilvl w:val="0"/>
          <w:numId w:val="1001"/>
        </w:numPr>
      </w:pPr>
      <w:r>
        <w:t xml:space="preserve">The strategic vision promotes a data-driven, human-centered digital ecosystem integrating hard connectivity (infrastructure) and soft connectivity (social technologies) to enable sustainable, impactful digital transformation aligned with EU-LAC Digital Alliance goals.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EU Delegations; Governments; Policy Level Representatives</w:t>
            </w:r>
          </w:p>
        </w:tc>
      </w:tr>
      <w:tr>
        <w:tc>
          <w:tcPr/>
          <w:p>
            <w:pPr>
              <w:pStyle w:val="Compact"/>
            </w:pPr>
            <w:r>
              <w:t xml:space="preserve">Research and Innovation Actors</w:t>
            </w:r>
          </w:p>
        </w:tc>
        <w:tc>
          <w:tcPr/>
          <w:p>
            <w:pPr>
              <w:pStyle w:val="Compact"/>
            </w:pPr>
            <w:r>
              <w:t xml:space="preserve">RedCLARA; National Research and Education Networks; Universities; Research Centres; EU-LAC Digital Alliance</w:t>
            </w:r>
          </w:p>
        </w:tc>
      </w:tr>
      <w:tr>
        <w:tc>
          <w:tcPr/>
          <w:p>
            <w:pPr>
              <w:pStyle w:val="Compact"/>
            </w:pPr>
            <w:r>
              <w:t xml:space="preserve">Economic Actors</w:t>
            </w:r>
          </w:p>
        </w:tc>
        <w:tc>
          <w:tcPr/>
          <w:p>
            <w:pPr>
              <w:pStyle w:val="Compact"/>
            </w:pPr>
            <w:r>
              <w:t xml:space="preserve">Financial organizations; Private Sector Representatives; Multinational organizations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Ecosystem; Digital Skills Development; Digital Platforms; Digital Infrastructure; Digital Policy</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EU-LAC Digital Alliance;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Hosting of BELLA II Open Strategic Dialogues workshops in El Salvador (October 2023) and Panama (November 2023) to consolidate the digital ecosystem, generate innovative value proposals, and promote meaningful connectivity at national and regional levels.</w:t>
      </w:r>
    </w:p>
    <w:p>
      <w:pPr>
        <w:pStyle w:val="Compact"/>
        <w:numPr>
          <w:ilvl w:val="0"/>
          <w:numId w:val="1002"/>
        </w:numPr>
      </w:pPr>
      <w:r>
        <w:t xml:space="preserve">Engagement of diverse stakeholders in these dialogues, including universities, research centers, government agencies, private banks, multilateral organizations, companies, the EU delegation, DG-INTPA, and RedCLARA representatives.</w:t>
      </w:r>
    </w:p>
    <w:p>
      <w:pPr>
        <w:pStyle w:val="Compact"/>
        <w:numPr>
          <w:ilvl w:val="0"/>
          <w:numId w:val="1002"/>
        </w:numPr>
      </w:pPr>
      <w:r>
        <w:t xml:space="preserve">Use of Large-Group Interaction Methods (LGIM), specifically the Future Search methodology, in workshops to facilitate strategic visioning, dialogue, and roadmap development for digital transformation.</w:t>
      </w:r>
    </w:p>
    <w:p>
      <w:pPr>
        <w:pStyle w:val="Compact"/>
        <w:numPr>
          <w:ilvl w:val="0"/>
          <w:numId w:val="1002"/>
        </w:numPr>
      </w:pPr>
      <w:r>
        <w:t xml:space="preserve">Formulation of a strategic vision and roadmap for universities and National Research and Education Networks (NRENs) to address digital economy challenges, focusing on public policies, funding access, human talent development, innovation, and digital ecosystem infrastructure.</w:t>
      </w:r>
    </w:p>
    <w:p>
      <w:pPr>
        <w:pStyle w:val="Compact"/>
        <w:numPr>
          <w:ilvl w:val="0"/>
          <w:numId w:val="1002"/>
        </w:numPr>
      </w:pPr>
      <w:r>
        <w:t xml:space="preserve">Establishment of working groups during the Panama workshop addressing: (1) Public Policies – integration, regulatory framework, funding instruments, and training for digital transformation leadership; (2) Access to Funding Sources – identification and structuring of national and international funding, capability building for project formulation and execution; (3) Human Talent – development of digital, multilingual capabilities, microcredential recognition, and STI culture through coordinated state, academia, and network actions; (4) Public and Private Innovation – promotion of ideathons, hackathons, open innovation networks, and market needs detection; (5) Digital Ecosystem – integration of universities, research centers, and private sector for co-production of value, shared digital resources, training in advanced digital skills, and meaningful connectivity.</w:t>
      </w:r>
    </w:p>
    <w:p>
      <w:pPr>
        <w:pStyle w:val="Compact"/>
        <w:numPr>
          <w:ilvl w:val="0"/>
          <w:numId w:val="1002"/>
        </w:numPr>
      </w:pPr>
      <w:r>
        <w:t xml:space="preserve">RedCLARA’s role as a meta-organization coordinating NRENs, universities, and research institutions to foster collaboration, co-production of value, and co-creation of innovations addressing regional challenges.</w:t>
      </w:r>
    </w:p>
    <w:p>
      <w:pPr>
        <w:pStyle w:val="Compact"/>
        <w:numPr>
          <w:ilvl w:val="0"/>
          <w:numId w:val="1002"/>
        </w:numPr>
      </w:pPr>
      <w:r>
        <w:t xml:space="preserve">BELLA II project funded by the European Union through the Neighbourhood Development and International Cooperation Instrument (NDICI) with a 48-month implementation period, focusing on connectivity as a pillar of the EU-LAC Digital Alliance.</w:t>
      </w:r>
    </w:p>
    <w:p>
      <w:pPr>
        <w:pStyle w:val="Compact"/>
        <w:numPr>
          <w:ilvl w:val="0"/>
          <w:numId w:val="1002"/>
        </w:numPr>
      </w:pPr>
      <w:r>
        <w:t xml:space="preserve">Promotion of meaningful connectivity combining hard infrastructure (submarine cables, terrestrial connections, 5G) and soft connectivity (social technologies, strategic dialogues, social innovation) to support data-centered, human-based digital transformation processes.</w:t>
      </w:r>
    </w:p>
    <w:p>
      <w:pPr>
        <w:pStyle w:val="Compact"/>
        <w:numPr>
          <w:ilvl w:val="0"/>
          <w:numId w:val="1002"/>
        </w:numPr>
      </w:pPr>
      <w:r>
        <w:t xml:space="preserve">Continuation of strategic dialogues and policy dialogues coordinated by GIZ in El Salvador and other cities to ensure long-term impact and sustainable relationships among stakeholders in the digital ecosystem.</w:t>
      </w:r>
    </w:p>
    <w:bookmarkEnd w:id="24"/>
    <w:bookmarkStart w:id="25" w:name="commitments"/>
    <w:p>
      <w:pPr>
        <w:pStyle w:val="Heading2"/>
      </w:pPr>
      <w:r>
        <w:t xml:space="preserve">Commitments</w:t>
      </w:r>
    </w:p>
    <w:p>
      <w:pPr>
        <w:pStyle w:val="Compact"/>
        <w:numPr>
          <w:ilvl w:val="0"/>
          <w:numId w:val="1003"/>
        </w:numPr>
      </w:pPr>
      <w:r>
        <w:t xml:space="preserve">BELLA II project implementation duration: 48 months starting from December 2022 (agreement signed December 2022).</w:t>
      </w:r>
    </w:p>
    <w:p>
      <w:pPr>
        <w:pStyle w:val="Compact"/>
        <w:numPr>
          <w:ilvl w:val="0"/>
          <w:numId w:val="1003"/>
        </w:numPr>
      </w:pPr>
      <w:r>
        <w:t xml:space="preserve">Next BELLA II Open Strategic Dialogues to be hosted in El Salvador on October 9-10, 2023.</w:t>
      </w:r>
    </w:p>
    <w:p>
      <w:pPr>
        <w:pStyle w:val="Compact"/>
        <w:numPr>
          <w:ilvl w:val="0"/>
          <w:numId w:val="1003"/>
        </w:numPr>
      </w:pPr>
      <w:r>
        <w:t xml:space="preserve">Next BELLA II Open Strategic Dialogue to be held in Panama City on November 15, 2023.</w:t>
      </w:r>
    </w:p>
    <w:p>
      <w:pPr>
        <w:pStyle w:val="Compact"/>
        <w:numPr>
          <w:ilvl w:val="0"/>
          <w:numId w:val="1003"/>
        </w:numPr>
      </w:pPr>
      <w:r>
        <w:t xml:space="preserve">Development of a training program aimed at building capacities for public innovation among managers of initiatives promoting science, technology, and innovation (no specific deadline given).</w:t>
      </w:r>
    </w:p>
    <w:p>
      <w:pPr>
        <w:pStyle w:val="Compact"/>
        <w:numPr>
          <w:ilvl w:val="0"/>
          <w:numId w:val="1003"/>
        </w:numPr>
      </w:pPr>
      <w:r>
        <w:t xml:space="preserve">Creation of national Microcredential homologation systems and implementation of a regional tokenization and Microcredential management system (no specific deadline given).</w:t>
      </w:r>
    </w:p>
    <w:p>
      <w:pPr>
        <w:pStyle w:val="Compact"/>
        <w:numPr>
          <w:ilvl w:val="0"/>
          <w:numId w:val="1003"/>
        </w:numPr>
      </w:pPr>
      <w:r>
        <w:t xml:space="preserve">Formulation of a strategic vision and roadmap for universities and NRENs to contribute to sustainable development of a data-based and human-centred RedCLARA digital ecosystem within the framework of BELLA II and EU-LAC Digital Alliance (ongoing process as of November 2023).</w:t>
      </w:r>
    </w:p>
    <w:p>
      <w:pPr>
        <w:pStyle w:val="Compact"/>
        <w:numPr>
          <w:ilvl w:val="0"/>
          <w:numId w:val="1003"/>
        </w:numPr>
      </w:pPr>
      <w:r>
        <w:t xml:space="preserve">Identification and structuring of sectoral programs and pilot projects based on auditing of resources, capabilities, and competencies to reduce the digital divide (no specific deadline given).</w:t>
      </w:r>
    </w:p>
    <w:p>
      <w:pPr>
        <w:pStyle w:val="Compact"/>
        <w:numPr>
          <w:ilvl w:val="0"/>
          <w:numId w:val="1003"/>
        </w:numPr>
      </w:pPr>
      <w:r>
        <w:t xml:space="preserve">Development of capabilities to formulate, negotiate, and execute viable international projects to access global competitive funding windows (no specific deadline given).</w:t>
      </w:r>
    </w:p>
    <w:p>
      <w:pPr>
        <w:pStyle w:val="Compact"/>
        <w:numPr>
          <w:ilvl w:val="0"/>
          <w:numId w:val="1003"/>
        </w:numPr>
      </w:pPr>
      <w:r>
        <w:t xml:space="preserve">Promotion of ideathons and hackathons to generate portfolios of projects leading to incubated companies and innovations in short, medium, and long term (ongoing).</w:t>
      </w:r>
    </w:p>
    <w:p>
      <w:pPr>
        <w:pStyle w:val="Compact"/>
        <w:numPr>
          <w:ilvl w:val="0"/>
          <w:numId w:val="1003"/>
        </w:numPr>
      </w:pPr>
      <w:r>
        <w:t xml:space="preserve">Strategic vision for BELLA II: to develop a digital ecosystem that is an international benchmark articulating hard and soft connectivity to execute data-centred, human-based transformational programs and projects (vision statement, no deadline).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2025-06-19T16:18:00Z</dcterms:created>
  <dcterms:modified xsi:type="dcterms:W3CDTF">2025-06-19T16:18:00Z</dcterms:modified>
</cp:coreProperties>
</file>

<file path=docProps/custom.xml><?xml version="1.0" encoding="utf-8"?>
<Properties xmlns="http://schemas.openxmlformats.org/officeDocument/2006/custom-properties" xmlns:vt="http://schemas.openxmlformats.org/officeDocument/2006/docPropsVTypes"/>
</file>