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bb29fc3ff73b30fb86c509b440e539ba0ac9c6"/>
    <w:p>
      <w:pPr>
        <w:pStyle w:val="Heading1"/>
      </w:pPr>
      <w:r>
        <w:t xml:space="preserve">Digital Agenda for Latin America and the Caribbean (eLAC2026): Strategies and Targets from the Ninth Ministerial Conference on the Information Society</w:t>
      </w:r>
    </w:p>
    <w:p>
      <w:pPr>
        <w:pStyle w:val="FirstParagraph"/>
      </w:pPr>
      <w:r>
        <w:rPr>
          <w:b/>
          <w:bCs/>
        </w:rPr>
        <w:t xml:space="preserve">Date</w:t>
      </w:r>
      <w:r>
        <w:t xml:space="preserve">: 2024-11-08</w:t>
      </w:r>
    </w:p>
    <w:p>
      <w:pPr>
        <w:pStyle w:val="BodyText"/>
      </w:pPr>
      <w:r>
        <w:rPr>
          <w:b/>
          <w:bCs/>
        </w:rPr>
        <w:t xml:space="preserve">Location</w:t>
      </w:r>
      <w:r>
        <w:t xml:space="preserve">: Santiago, Chile</w:t>
      </w:r>
    </w:p>
    <w:bookmarkStart w:id="20" w:name="executive-summary"/>
    <w:p>
      <w:pPr>
        <w:pStyle w:val="Heading2"/>
      </w:pPr>
      <w:r>
        <w:t xml:space="preserve">Executive Summary</w:t>
      </w:r>
    </w:p>
    <w:p>
      <w:pPr>
        <w:pStyle w:val="FirstParagraph"/>
      </w:pPr>
      <w:r>
        <w:t xml:space="preserve">The Ninth Ministerial Conference on the Information Society in Latin America and the Caribbean (eLAC2026) outlines a comprehensive Digital Agenda to drive productive, inclusive, and sustainable development through digital transformation. The agenda is structured around three axes: meaningful connectivity and digital infrastructure; governance and digital security; and innovation, emerging technologies, and artificial intelligence. It emphasizes universal access, digital security, ethical AI frameworks, and fostering digital skills. The agenda also focuses on digital transformation for productive development, well-being, and state modernization. A multi-level follow-up mechanism involving ministerial conferences, presiding officers, focal points, and working groups, supported by ECLAC, ensures implementation and monitoring. Key regional targets for 2026 include doubling 5G coverage, achieving 70% fixed broadband penetration, improving e-government rankings, increasing digital skills, and expanding national cybersecurity strategies. This agenda aligns with global digital cooperation commitments and aims to address Latin America and the Caribbean’s development challenges through effective digital technology use.</w:t>
      </w:r>
    </w:p>
    <w:bookmarkEnd w:id="20"/>
    <w:bookmarkStart w:id="21" w:name="characteristics"/>
    <w:p>
      <w:pPr>
        <w:pStyle w:val="Heading2"/>
      </w:pPr>
      <w:r>
        <w:t xml:space="preserve">Characteristics</w:t>
      </w:r>
    </w:p>
    <w:p>
      <w:pPr>
        <w:pStyle w:val="Compact"/>
        <w:numPr>
          <w:ilvl w:val="0"/>
          <w:numId w:val="1001"/>
        </w:numPr>
      </w:pPr>
      <w:r>
        <w:t xml:space="preserve">The Digital Agenda for Latin America and the Caribbean (eLAC2026) focuses on three axes: meaningful connectivity and digital infrastructure; governance and digital security; and innovation, emerging technologies, and AI for sustainable development.</w:t>
      </w:r>
    </w:p>
    <w:p>
      <w:pPr>
        <w:pStyle w:val="Compact"/>
        <w:numPr>
          <w:ilvl w:val="0"/>
          <w:numId w:val="1001"/>
        </w:numPr>
      </w:pPr>
      <w:r>
        <w:t xml:space="preserve">It includes three thematic pillars: digital transformation for productive development, well-being, and the digital transformation of the State, with strategic objectives under each.</w:t>
      </w:r>
    </w:p>
    <w:p>
      <w:pPr>
        <w:pStyle w:val="Compact"/>
        <w:numPr>
          <w:ilvl w:val="0"/>
          <w:numId w:val="1001"/>
        </w:numPr>
      </w:pPr>
      <w:r>
        <w:t xml:space="preserve">The agenda aims to address development traps in the region by boosting productivity, inclusion, governance, and sustainability through digital technologies.</w:t>
      </w:r>
    </w:p>
    <w:p>
      <w:pPr>
        <w:pStyle w:val="Compact"/>
        <w:numPr>
          <w:ilvl w:val="0"/>
          <w:numId w:val="1001"/>
        </w:numPr>
      </w:pPr>
      <w:r>
        <w:t xml:space="preserve">A follow-up mechanism involves a Ministerial Conference, Presiding Officers, focal points, working groups, and ECLAC as the technical secretariat.</w:t>
      </w:r>
    </w:p>
    <w:p>
      <w:pPr>
        <w:pStyle w:val="Compact"/>
        <w:numPr>
          <w:ilvl w:val="0"/>
          <w:numId w:val="1001"/>
        </w:numPr>
      </w:pPr>
      <w:r>
        <w:t xml:space="preserve">Targets for 2026 include doubling 5G coverage, increasing broadband penetration and speeds, improving e-government rankings, expanding digital skills, and enhancing cybersecurity and AI leadership.</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European Union; United Nations; Economic Commission for Latin America and the Caribbean (ECLAC)</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Infrastructure; Digital Platforms; Digital Policy; Digital Ecosystem; Digital Skills Development; Digital Economy; Digital Regulation</w:t>
            </w:r>
          </w:p>
        </w:tc>
      </w:tr>
      <w:tr>
        <w:tc>
          <w:tcPr/>
          <w:p>
            <w:pPr>
              <w:pStyle w:val="Compact"/>
            </w:pPr>
            <w:r>
              <w:t xml:space="preserve">Technology &amp; Innovation</w:t>
            </w:r>
          </w:p>
        </w:tc>
        <w:tc>
          <w:tcPr/>
          <w:p>
            <w:pPr>
              <w:pStyle w:val="Compact"/>
            </w:pPr>
            <w:r>
              <w:t xml:space="preserve">Artificial Intelligence; AI Ethics; ICT Innovation</w:t>
            </w:r>
          </w:p>
        </w:tc>
      </w:tr>
      <w:tr>
        <w:tc>
          <w:tcPr/>
          <w:p>
            <w:pPr>
              <w:pStyle w:val="Compact"/>
            </w:pPr>
            <w:r>
              <w:t xml:space="preserve">Data &amp; Governance</w:t>
            </w:r>
          </w:p>
        </w:tc>
        <w:tc>
          <w:tcPr/>
          <w:p>
            <w:pPr>
              <w:pStyle w:val="Compact"/>
            </w:pPr>
            <w:r>
              <w:t xml:space="preserve">Digital Governance; E-Governance; Data Governance; Data Protection; Digital Ethics; Cybersecurity</w:t>
            </w:r>
          </w:p>
        </w:tc>
      </w:tr>
      <w:tr>
        <w:tc>
          <w:tcPr/>
          <w:p>
            <w:pPr>
              <w:pStyle w:val="Compact"/>
            </w:pPr>
            <w:r>
              <w:t xml:space="preserve">Inclusion &amp; Social Development</w:t>
            </w:r>
          </w:p>
        </w:tc>
        <w:tc>
          <w:tcPr/>
          <w:p>
            <w:pPr>
              <w:pStyle w:val="Compact"/>
            </w:pPr>
            <w:r>
              <w:t xml:space="preserve">Digital Inclusion; Digital Education; Connectivity</w:t>
            </w:r>
          </w:p>
        </w:tc>
      </w:tr>
      <w:tr>
        <w:tc>
          <w:tcPr/>
          <w:p>
            <w:pPr>
              <w:pStyle w:val="Compact"/>
            </w:pPr>
            <w:r>
              <w:t xml:space="preserve">Regional &amp; International Cooperation</w:t>
            </w:r>
          </w:p>
        </w:tc>
        <w:tc>
          <w:tcPr/>
          <w:p>
            <w:pPr>
              <w:pStyle w:val="Compact"/>
            </w:pPr>
            <w:r>
              <w:t xml:space="preserve">Global Digital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Deployment of telecommunications infrastructure in rural and underserved areas using universal access funds, strategies, and regulatory frameworks to expand broadband networks.</w:t>
      </w:r>
    </w:p>
    <w:p>
      <w:pPr>
        <w:pStyle w:val="Compact"/>
        <w:numPr>
          <w:ilvl w:val="0"/>
          <w:numId w:val="1002"/>
        </w:numPr>
      </w:pPr>
      <w:r>
        <w:t xml:space="preserve">Ensuring universal and affordable access to high-quality digital infrastructure, including facilitating the use of appropriate devices and digital skills development for the population and business sector.</w:t>
      </w:r>
    </w:p>
    <w:p>
      <w:pPr>
        <w:pStyle w:val="Compact"/>
        <w:numPr>
          <w:ilvl w:val="0"/>
          <w:numId w:val="1002"/>
        </w:numPr>
      </w:pPr>
      <w:r>
        <w:t xml:space="preserve">Investment in resilient digital infrastructure such as high-speed fixed broadband networks, mobile networks, satellites, data centres, Internet exchange points, and adoption of IPv6.</w:t>
      </w:r>
    </w:p>
    <w:p>
      <w:pPr>
        <w:pStyle w:val="Compact"/>
        <w:numPr>
          <w:ilvl w:val="0"/>
          <w:numId w:val="1002"/>
        </w:numPr>
      </w:pPr>
      <w:r>
        <w:t xml:space="preserve">Implementation of digital security measures including policies, standards, and strategies to protect systems and critical infrastructure, and increase digital security literacy.</w:t>
      </w:r>
    </w:p>
    <w:p>
      <w:pPr>
        <w:pStyle w:val="Compact"/>
        <w:numPr>
          <w:ilvl w:val="0"/>
          <w:numId w:val="1002"/>
        </w:numPr>
      </w:pPr>
      <w:r>
        <w:t xml:space="preserve">Development and implementation of policies and standards for child safety online in accordance with international law and human rights.</w:t>
      </w:r>
    </w:p>
    <w:p>
      <w:pPr>
        <w:pStyle w:val="Compact"/>
        <w:numPr>
          <w:ilvl w:val="0"/>
          <w:numId w:val="1002"/>
        </w:numPr>
      </w:pPr>
      <w:r>
        <w:t xml:space="preserve">Establishment of solid frameworks and governance mechanisms for personal data protection, ensuring privacy, transparency, and security.</w:t>
      </w:r>
    </w:p>
    <w:p>
      <w:pPr>
        <w:pStyle w:val="Compact"/>
        <w:numPr>
          <w:ilvl w:val="0"/>
          <w:numId w:val="1002"/>
        </w:numPr>
      </w:pPr>
      <w:r>
        <w:t xml:space="preserve">Strengthening institutions and inter-institutional coordination mechanisms involving private sector, academia, technical community, and civil society for digital policy design, implementation, and monitoring.</w:t>
      </w:r>
    </w:p>
    <w:p>
      <w:pPr>
        <w:pStyle w:val="Compact"/>
        <w:numPr>
          <w:ilvl w:val="0"/>
          <w:numId w:val="1002"/>
        </w:numPr>
      </w:pPr>
      <w:r>
        <w:t xml:space="preserve">Development of processes for measurement, data collection, harmonization of indicators, and sharing experiences to track digital transformation progress.</w:t>
      </w:r>
    </w:p>
    <w:p>
      <w:pPr>
        <w:pStyle w:val="Compact"/>
        <w:numPr>
          <w:ilvl w:val="0"/>
          <w:numId w:val="1002"/>
        </w:numPr>
      </w:pPr>
      <w:r>
        <w:t xml:space="preserve">Creation of enabling regulatory frameworks fostering competition, investment, and innovation based on international principles and human rights.</w:t>
      </w:r>
    </w:p>
    <w:p>
      <w:pPr>
        <w:pStyle w:val="Compact"/>
        <w:numPr>
          <w:ilvl w:val="0"/>
          <w:numId w:val="1002"/>
        </w:numPr>
      </w:pPr>
      <w:r>
        <w:t xml:space="preserve">Establishment of ethical and responsible frameworks for artificial intelligence prioritizing human rights, equity, transparency, and innovation.</w:t>
      </w:r>
    </w:p>
    <w:p>
      <w:pPr>
        <w:pStyle w:val="Compact"/>
        <w:numPr>
          <w:ilvl w:val="0"/>
          <w:numId w:val="1002"/>
        </w:numPr>
      </w:pPr>
      <w:r>
        <w:t xml:space="preserve">Implementation of AI applications in health, education, environmental protection, climate change, and key productive sectors emphasizing local solutions and entrepreneurship.</w:t>
      </w:r>
    </w:p>
    <w:p>
      <w:pPr>
        <w:pStyle w:val="Compact"/>
        <w:numPr>
          <w:ilvl w:val="0"/>
          <w:numId w:val="1002"/>
        </w:numPr>
      </w:pPr>
      <w:r>
        <w:t xml:space="preserve">Investment in AI research, education, and training programs to build skilled workforce and tailor solutions to local contexts.</w:t>
      </w:r>
    </w:p>
    <w:p>
      <w:pPr>
        <w:pStyle w:val="Compact"/>
        <w:numPr>
          <w:ilvl w:val="0"/>
          <w:numId w:val="1002"/>
        </w:numPr>
      </w:pPr>
      <w:r>
        <w:t xml:space="preserve">Participation in global, regional, and national AI initiatives to develop talent, data, infrastructure, and national AI strategies.</w:t>
      </w:r>
    </w:p>
    <w:p>
      <w:pPr>
        <w:pStyle w:val="Compact"/>
        <w:numPr>
          <w:ilvl w:val="0"/>
          <w:numId w:val="1002"/>
        </w:numPr>
      </w:pPr>
      <w:r>
        <w:t xml:space="preserve">Promotion of the use of emerging technologies such as Internet of Things, AI, and quantum computing to improve productivity, social inclusion, well-being, and governance.</w:t>
      </w:r>
    </w:p>
    <w:p>
      <w:pPr>
        <w:pStyle w:val="Compact"/>
        <w:numPr>
          <w:ilvl w:val="0"/>
          <w:numId w:val="1002"/>
        </w:numPr>
      </w:pPr>
      <w:r>
        <w:t xml:space="preserve">Sharing of digital public goods and open innovation resources including software, AI models, and data based on open standards.</w:t>
      </w:r>
    </w:p>
    <w:p>
      <w:pPr>
        <w:pStyle w:val="Compact"/>
        <w:numPr>
          <w:ilvl w:val="0"/>
          <w:numId w:val="1002"/>
        </w:numPr>
      </w:pPr>
      <w:r>
        <w:t xml:space="preserve">Support for e-commerce, digital financial services, and adoption of digital technologies by micro, small, and medium-sized enterprises.</w:t>
      </w:r>
    </w:p>
    <w:p>
      <w:pPr>
        <w:pStyle w:val="Compact"/>
        <w:numPr>
          <w:ilvl w:val="0"/>
          <w:numId w:val="1002"/>
        </w:numPr>
      </w:pPr>
      <w:r>
        <w:t xml:space="preserve">Development of financing mechanisms, incentives, training, and technical assistance to support digital, technology-based, and ICT companies.</w:t>
      </w:r>
    </w:p>
    <w:p>
      <w:pPr>
        <w:pStyle w:val="Compact"/>
        <w:numPr>
          <w:ilvl w:val="0"/>
          <w:numId w:val="1002"/>
        </w:numPr>
      </w:pPr>
      <w:r>
        <w:t xml:space="preserve">Creation and consolidation of digital ecosystems linking companies, technology parks, academic institutions, and research centers to foster innovation and digital sovereignty.</w:t>
      </w:r>
    </w:p>
    <w:p>
      <w:pPr>
        <w:pStyle w:val="Compact"/>
        <w:numPr>
          <w:ilvl w:val="0"/>
          <w:numId w:val="1002"/>
        </w:numPr>
      </w:pPr>
      <w:r>
        <w:t xml:space="preserve">Implementation of digital skills-building, education, and training programs for workforce participation in the digital economy.</w:t>
      </w:r>
    </w:p>
    <w:p>
      <w:pPr>
        <w:pStyle w:val="Compact"/>
        <w:numPr>
          <w:ilvl w:val="0"/>
          <w:numId w:val="1002"/>
        </w:numPr>
      </w:pPr>
      <w:r>
        <w:t xml:space="preserve">Reduction of administrative barriers and improvement of regulatory convergence to support regional digital trade integration.</w:t>
      </w:r>
    </w:p>
    <w:p>
      <w:pPr>
        <w:pStyle w:val="Compact"/>
        <w:numPr>
          <w:ilvl w:val="0"/>
          <w:numId w:val="1002"/>
        </w:numPr>
      </w:pPr>
      <w:r>
        <w:t xml:space="preserve">Adoption of digital tools in health (telemedicine, electronic health records) to improve access and quality of healthcare.</w:t>
      </w:r>
    </w:p>
    <w:p>
      <w:pPr>
        <w:pStyle w:val="Compact"/>
        <w:numPr>
          <w:ilvl w:val="0"/>
          <w:numId w:val="1002"/>
        </w:numPr>
      </w:pPr>
      <w:r>
        <w:t xml:space="preserve">Integration of digital technologies in education systems through teacher training, inclusive platforms, and equal access to digital resources.</w:t>
      </w:r>
    </w:p>
    <w:p>
      <w:pPr>
        <w:pStyle w:val="Compact"/>
        <w:numPr>
          <w:ilvl w:val="0"/>
          <w:numId w:val="1002"/>
        </w:numPr>
      </w:pPr>
      <w:r>
        <w:t xml:space="preserve">Establishment of national strategies on digital skills and competencies including school curricula adaptation and public training programs.</w:t>
      </w:r>
    </w:p>
    <w:p>
      <w:pPr>
        <w:pStyle w:val="Compact"/>
        <w:numPr>
          <w:ilvl w:val="0"/>
          <w:numId w:val="1002"/>
        </w:numPr>
      </w:pPr>
      <w:r>
        <w:t xml:space="preserve">Adoption of multidisciplinary measures to create safer and healthier online environments, especially for children, adolescents, youth, and older persons.</w:t>
      </w:r>
    </w:p>
    <w:p>
      <w:pPr>
        <w:pStyle w:val="Compact"/>
        <w:numPr>
          <w:ilvl w:val="0"/>
          <w:numId w:val="1002"/>
        </w:numPr>
      </w:pPr>
      <w:r>
        <w:t xml:space="preserve">Promotion of policies and strategies to combat disinformation, radicalization, and violent extremism through education and content regulation.</w:t>
      </w:r>
    </w:p>
    <w:p>
      <w:pPr>
        <w:pStyle w:val="Compact"/>
        <w:numPr>
          <w:ilvl w:val="0"/>
          <w:numId w:val="1002"/>
        </w:numPr>
      </w:pPr>
      <w:r>
        <w:t xml:space="preserve">Adoption of international policies and standards to ensure digital inclusion and accessibility for persons with disabilities and vulnerable groups.</w:t>
      </w:r>
    </w:p>
    <w:p>
      <w:pPr>
        <w:pStyle w:val="Compact"/>
        <w:numPr>
          <w:ilvl w:val="0"/>
          <w:numId w:val="1002"/>
        </w:numPr>
      </w:pPr>
      <w:r>
        <w:t xml:space="preserve">Modernization and digitalization of government processes and services to improve efficiency, transparency, citizen participation, and accountability.</w:t>
      </w:r>
    </w:p>
    <w:p>
      <w:pPr>
        <w:pStyle w:val="Compact"/>
        <w:numPr>
          <w:ilvl w:val="0"/>
          <w:numId w:val="1002"/>
        </w:numPr>
      </w:pPr>
      <w:r>
        <w:t xml:space="preserve">Implementation of secure digital identity and signature systems to facilitate access to public services and promote cross-border digital services.</w:t>
      </w:r>
    </w:p>
    <w:p>
      <w:pPr>
        <w:pStyle w:val="Compact"/>
        <w:numPr>
          <w:ilvl w:val="0"/>
          <w:numId w:val="1002"/>
        </w:numPr>
      </w:pPr>
      <w:r>
        <w:t xml:space="preserve">Adoption of government e-procurement systems to ensure transparency, monitoring, citizen oversight, and accountability.</w:t>
      </w:r>
    </w:p>
    <w:p>
      <w:pPr>
        <w:pStyle w:val="Compact"/>
        <w:numPr>
          <w:ilvl w:val="0"/>
          <w:numId w:val="1002"/>
        </w:numPr>
      </w:pPr>
      <w:r>
        <w:t xml:space="preserve">Promotion of digital agendas and strategies in cities and local governments to address public service challenges.</w:t>
      </w:r>
    </w:p>
    <w:p>
      <w:pPr>
        <w:pStyle w:val="Compact"/>
        <w:numPr>
          <w:ilvl w:val="0"/>
          <w:numId w:val="1002"/>
        </w:numPr>
      </w:pPr>
      <w:r>
        <w:t xml:space="preserve">Promotion of open government and open data initiatives to improve transparency, innovation, collaboration, and decision-making.</w:t>
      </w:r>
    </w:p>
    <w:p>
      <w:pPr>
        <w:pStyle w:val="Compact"/>
        <w:numPr>
          <w:ilvl w:val="0"/>
          <w:numId w:val="1002"/>
        </w:numPr>
      </w:pPr>
      <w:r>
        <w:t xml:space="preserve">Encouragement of innovation in government solutions including open innovation models supported by local digital ecosystems.</w:t>
      </w:r>
    </w:p>
    <w:p>
      <w:pPr>
        <w:pStyle w:val="Compact"/>
        <w:numPr>
          <w:ilvl w:val="0"/>
          <w:numId w:val="1002"/>
        </w:numPr>
      </w:pPr>
      <w:r>
        <w:t xml:space="preserve">Development of robust digital and data governance frameworks ensuring privacy, security, interoperability, and data use for decision-making.</w:t>
      </w:r>
    </w:p>
    <w:p>
      <w:pPr>
        <w:pStyle w:val="Compact"/>
        <w:numPr>
          <w:ilvl w:val="0"/>
          <w:numId w:val="1002"/>
        </w:numPr>
      </w:pPr>
      <w:r>
        <w:t xml:space="preserve">Use of digital technologies to strengthen institutional capacities and improve governance efficiency and transparency.</w:t>
      </w:r>
    </w:p>
    <w:p>
      <w:pPr>
        <w:pStyle w:val="Compact"/>
        <w:numPr>
          <w:ilvl w:val="0"/>
          <w:numId w:val="1002"/>
        </w:numPr>
      </w:pPr>
      <w:r>
        <w:t xml:space="preserve">Establishment of a follow-up mechanism for the Digital Agenda including Ministerial Conference, Presiding Officers, focal points, and working groups coordinated by ECLAC.</w:t>
      </w:r>
    </w:p>
    <w:p>
      <w:pPr>
        <w:pStyle w:val="Compact"/>
        <w:numPr>
          <w:ilvl w:val="0"/>
          <w:numId w:val="1002"/>
        </w:numPr>
      </w:pPr>
      <w:r>
        <w:t xml:space="preserve">Operation of the Digital Development Observatory to monitor and evaluate digital transformation progress through data collection, analysis, and dissemination.</w:t>
      </w:r>
    </w:p>
    <w:p>
      <w:pPr>
        <w:pStyle w:val="Compact"/>
        <w:numPr>
          <w:ilvl w:val="0"/>
          <w:numId w:val="1002"/>
        </w:numPr>
      </w:pPr>
      <w:r>
        <w:t xml:space="preserve">Operation of the Policy Lab for the Digital Transformation to develop policy frameworks, facilitate data science and technology tool access, and foster regional collaborative projects.</w:t>
      </w:r>
    </w:p>
    <w:bookmarkEnd w:id="24"/>
    <w:bookmarkStart w:id="25" w:name="commitments"/>
    <w:p>
      <w:pPr>
        <w:pStyle w:val="Heading2"/>
      </w:pPr>
      <w:r>
        <w:t xml:space="preserve">Commitments</w:t>
      </w:r>
    </w:p>
    <w:p>
      <w:pPr>
        <w:pStyle w:val="Compact"/>
        <w:numPr>
          <w:ilvl w:val="0"/>
          <w:numId w:val="1003"/>
        </w:numPr>
      </w:pPr>
      <w:r>
        <w:t xml:space="preserve">Double the population covered by 5G networks to 72% by 2026 (baseline 36% in 2023).</w:t>
      </w:r>
    </w:p>
    <w:p>
      <w:pPr>
        <w:pStyle w:val="Compact"/>
        <w:numPr>
          <w:ilvl w:val="0"/>
          <w:numId w:val="1003"/>
        </w:numPr>
      </w:pPr>
      <w:r>
        <w:t xml:space="preserve">Achieve 70% fixed broadband penetration in households by 2026 (baseline 66% in 2023).</w:t>
      </w:r>
    </w:p>
    <w:p>
      <w:pPr>
        <w:pStyle w:val="Compact"/>
        <w:numPr>
          <w:ilvl w:val="0"/>
          <w:numId w:val="1003"/>
        </w:numPr>
      </w:pPr>
      <w:r>
        <w:t xml:space="preserve">Reach an average fixed broadband connection speed (downstream) of 100 Mbps for the region by 2026 (baseline 85 Mbps in 2024).</w:t>
      </w:r>
    </w:p>
    <w:p>
      <w:pPr>
        <w:pStyle w:val="Compact"/>
        <w:numPr>
          <w:ilvl w:val="0"/>
          <w:numId w:val="1003"/>
        </w:numPr>
      </w:pPr>
      <w:r>
        <w:t xml:space="preserve">Reach an average mobile broadband connection speed (downstream) of 33 Mbps for the region by 2026 (baseline 28 Mbps in 2024).</w:t>
      </w:r>
    </w:p>
    <w:p>
      <w:pPr>
        <w:pStyle w:val="Compact"/>
        <w:numPr>
          <w:ilvl w:val="0"/>
          <w:numId w:val="1003"/>
        </w:numPr>
      </w:pPr>
      <w:r>
        <w:t xml:space="preserve">20 countries improve their ranking in the United Nations e-Government Development Index (EGDI) by 2026 (baseline 13 countries during 2022–2024).</w:t>
      </w:r>
    </w:p>
    <w:p>
      <w:pPr>
        <w:pStyle w:val="Compact"/>
        <w:numPr>
          <w:ilvl w:val="0"/>
          <w:numId w:val="1003"/>
        </w:numPr>
      </w:pPr>
      <w:r>
        <w:t xml:space="preserve">52% of companies have e-commerce operations by 2026 (baseline 50% in 2023).</w:t>
      </w:r>
    </w:p>
    <w:p>
      <w:pPr>
        <w:pStyle w:val="Compact"/>
        <w:numPr>
          <w:ilvl w:val="0"/>
          <w:numId w:val="1003"/>
        </w:numPr>
      </w:pPr>
      <w:r>
        <w:t xml:space="preserve">50% of the population has basic digital skills by 2026 (baseline 45% in 2022).</w:t>
      </w:r>
    </w:p>
    <w:p>
      <w:pPr>
        <w:pStyle w:val="Compact"/>
        <w:numPr>
          <w:ilvl w:val="0"/>
          <w:numId w:val="1003"/>
        </w:numPr>
      </w:pPr>
      <w:r>
        <w:t xml:space="preserve">20% of the population has advanced digital skills by 2026 (baseline 14% in 2022).</w:t>
      </w:r>
    </w:p>
    <w:p>
      <w:pPr>
        <w:pStyle w:val="Compact"/>
        <w:numPr>
          <w:ilvl w:val="0"/>
          <w:numId w:val="1003"/>
        </w:numPr>
      </w:pPr>
      <w:r>
        <w:t xml:space="preserve">30 countries in the region have a national cybersecurity strategy by 2026 (baseline 17 of 33 countries in 2023).</w:t>
      </w:r>
    </w:p>
    <w:p>
      <w:pPr>
        <w:pStyle w:val="Compact"/>
        <w:numPr>
          <w:ilvl w:val="0"/>
          <w:numId w:val="1003"/>
        </w:numPr>
      </w:pPr>
      <w:r>
        <w:t xml:space="preserve">6 countries ranked as pioneers in the Latin American artificial intelligence index (ILIA) by 2026 (baseline 3 countries in 2023).</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2025-06-19T16:52:39Z</dcterms:created>
  <dcterms:modified xsi:type="dcterms:W3CDTF">2025-06-19T16:52:39Z</dcterms:modified>
</cp:coreProperties>
</file>

<file path=docProps/custom.xml><?xml version="1.0" encoding="utf-8"?>
<Properties xmlns="http://schemas.openxmlformats.org/officeDocument/2006/custom-properties" xmlns:vt="http://schemas.openxmlformats.org/officeDocument/2006/docPropsVTypes"/>
</file>