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narrative-summary"/>
    <w:p>
      <w:pPr>
        <w:pStyle w:val="Heading2"/>
      </w:pPr>
      <w:r>
        <w:t xml:space="preserve">Narrative Summary</w:t>
      </w:r>
    </w:p>
    <w:p>
      <w:pPr>
        <w:pStyle w:val="FirstParagraph"/>
      </w:pPr>
      <w:r>
        <w:t xml:space="preserve">On July 17, 2023, a significant partnership was solidified between the European Union (EU) and several countries from Latin America and the Caribbean (LAC) through the establishment of the EU-LAC Digital Alliance. This initiative, which encompasses nations such as Argentina, Brazil, Mexico, Colombia, Chile, and many others, aims to enhance cooperation in the digital sector, fostering a more interconnected and technologically advanced collaboration between the regions. The alliance is designed to be inclusive, allowing for participation from all LAC countries and EU Member States that have relevant governmental and agency involvement in digital agendas.</w:t>
      </w:r>
    </w:p>
    <w:p>
      <w:pPr>
        <w:pStyle w:val="BodyText"/>
      </w:pPr>
      <w:r>
        <w:t xml:space="preserve">The EU-LAC Digital Alliance is characterized as an informal, values-driven framework for collaboration, prioritizing shared human rights and democratic principles as foundational elements. Within this alliance, the EU engages as</w:t>
      </w:r>
      <w:r>
        <w:t xml:space="preserve"> </w:t>
      </w:r>
      <w:r>
        <w:t xml:space="preserve">“Team Europe,”</w:t>
      </w:r>
      <w:r>
        <w:t xml:space="preserve"> </w:t>
      </w:r>
      <w:r>
        <w:t xml:space="preserve">which involves not just EU institutions but also individual member states and their development agencies, European financial institutions, and various stakeholders from the LAC region. This diverse participation framework aims to include private sector entities, academic institutions, and civil society organizations, thus laying a robust groundwork for bi-regional dialogue and cooperative digital initiatives benefitting both citizens and businesses.</w:t>
      </w:r>
    </w:p>
    <w:p>
      <w:pPr>
        <w:pStyle w:val="BodyText"/>
      </w:pPr>
      <w:r>
        <w:t xml:space="preserve">One of the core objectives of the EU-LAC Digital Alliance is to provide a strategic avenue for ongoing and future digital cooperation. This includes existing programs like the BELLA initiative, which focuses on digital infrastructure, cybersecurity measures primarily under the EL PAcCTO initiative, and various projects related to data governance and technology advancement. The alliance encourages dialogues on a wide spectrum of digital topics such as internet governance, artificial intelligence, cybersecurity, digital trade, and connectivity, among others, signaling a commitment to harness the potential of digital technology for socio-economic progress.</w:t>
      </w:r>
    </w:p>
    <w:p>
      <w:pPr>
        <w:pStyle w:val="BodyText"/>
      </w:pPr>
      <w:r>
        <w:t xml:space="preserve">Moreover, the alliance emphasizes the importance of creating a human-centric digital economy, advocating that digitalization should prioritize human welfare, with a focus on sustainable development. This entails closing the digital divide, promoting social cohesion, and ensuring that investments in technology yield benefits for all, particularly marginalized groups like women and girls. By building digital competencies among citizens, it aims to improve engagement with digital technologies, thus enabling individuals to participate confidently in the digital economy.</w:t>
      </w:r>
    </w:p>
    <w:p>
      <w:pPr>
        <w:pStyle w:val="BodyText"/>
      </w:pPr>
      <w:r>
        <w:t xml:space="preserve">The agreement highlights the shared values between the involved countries surrounding data protection, privacy, and online safety, affirming that rights enjoyed offline must be mirrored online. This perspective also aligns with the European Declaration on Digital Rights and Principles and the eLAC Digital Agenda 2024, both of which advocate for a people-centered and inclusive digital transformation.</w:t>
      </w:r>
    </w:p>
    <w:p>
      <w:pPr>
        <w:pStyle w:val="BodyText"/>
      </w:pPr>
      <w:r>
        <w:t xml:space="preserve">To ensure effective implementation of the alliance’s goals, a structured framework for ongoing dialogue will be established to exchange best practices related to digital policy, cybersecurity, interoperability, and other topics of mutual interest. It involves a multi-faceted approach to bring together various stakeholders for collaborative action, aiming to converge regulatory frameworks and bridge digital gaps between regions.</w:t>
      </w:r>
    </w:p>
    <w:p>
      <w:pPr>
        <w:pStyle w:val="BodyText"/>
      </w:pPr>
      <w:r>
        <w:t xml:space="preserve">In articulating their approach to financing, the EU-LAC Digital Alliance plans to develop a bi-regional Investment Agenda in digital technology, which includes projects backed by the Global Gateway initiative. High-priority initiatives in the near future include the extension of the BELLA fibre-optic cable, creating regional Copernicus data centers in Panama and Chile, and the establishment of an EU-LAC Digital Accelerator. This accelerator is intended to foster collaborations among European and LAC companies, start-ups, and SMEs with aims of creating at least 40 joint ventures that boost innovation and digital transformation within both regions.</w:t>
      </w:r>
    </w:p>
    <w:p>
      <w:pPr>
        <w:pStyle w:val="BodyText"/>
      </w:pPr>
      <w:r>
        <w:t xml:space="preserve">To ensure a check on progress and adaptation to the rapidly changing digital landscape, the alliance will undergo regular reviews and adjustments in its priorities. By committing to a constant evolution in response to emerging needs and opportunities, the EU-LAC Digital Alliance stands as a pivotal step toward a more collaborative and prosperous digital future, aligned with shared values and goals for social equity and technological advancement.</w:t>
      </w:r>
    </w:p>
    <w:bookmarkEnd w:id="20"/>
    <w:bookmarkStart w:id="54" w:name="X8a6735a9640922fdaebd3048589d8039fd3bbae"/>
    <w:p>
      <w:pPr>
        <w:pStyle w:val="Heading1"/>
      </w:pPr>
      <w:r>
        <w:t xml:space="preserve">“EU-LAC Digital Alliance: Fostering Collaborative Digital Cooperation for Sustainable Development”</w:t>
      </w:r>
    </w:p>
    <w:p>
      <w:pPr>
        <w:pStyle w:val="FirstParagraph"/>
      </w:pPr>
      <w:r>
        <w:rPr>
          <w:b/>
          <w:bCs/>
        </w:rPr>
        <w:t xml:space="preserve">Date:</w:t>
      </w:r>
      <w:r>
        <w:t xml:space="preserve"> </w:t>
      </w:r>
      <w:r>
        <w:t xml:space="preserve">The exact document date is 2023-07-17.</w:t>
      </w:r>
      <w:r>
        <w:br/>
      </w:r>
      <w:r>
        <w:rPr>
          <w:b/>
          <w:bCs/>
        </w:rPr>
        <w:t xml:space="preserve">Locations:</w:t>
      </w:r>
      <w:r>
        <w:t xml:space="preserve"> </w:t>
      </w:r>
      <w:r>
        <w:t xml:space="preserve">A, r, g, e, n, t, i, n, a, ,, , B, r, a, z, i, l, ,, , M, e, x, i, c, o, ,, , C, o, l, o, m, b, i, a, ,, , C, h, i, l, e, ,, , E, c, u, a, d, o, r, .</w:t>
      </w:r>
    </w:p>
    <w:bookmarkStart w:id="28" w:name="characteristics"/>
    <w:p>
      <w:pPr>
        <w:pStyle w:val="Heading2"/>
      </w:pPr>
      <w:r>
        <w:t xml:space="preserve">Characteristics</w:t>
      </w:r>
    </w:p>
    <w:p>
      <w:pPr>
        <w:pStyle w:val="FirstParagraph"/>
      </w:pPr>
      <w:r>
        <w:t xml:space="preserve">The EU-LAC Digital Alliance, established on July 17, 2023, embodies a comprehensive framework for enhancing digital cooperation between the European Union (EU) and various countries in Latin America and the Caribbean (LAC). Here are the main characteristics of the alliance in detail:</w:t>
      </w:r>
    </w:p>
    <w:bookmarkStart w:id="21" w:name="collaborative-framework"/>
    <w:p>
      <w:pPr>
        <w:pStyle w:val="Heading3"/>
      </w:pPr>
      <w:r>
        <w:t xml:space="preserve">1. Collaborative Framework:</w:t>
      </w:r>
    </w:p>
    <w:p>
      <w:pPr>
        <w:pStyle w:val="Compact"/>
        <w:numPr>
          <w:ilvl w:val="0"/>
          <w:numId w:val="1001"/>
        </w:numPr>
      </w:pPr>
      <w:r>
        <w:rPr>
          <w:b/>
          <w:bCs/>
        </w:rPr>
        <w:t xml:space="preserve">Informal and Values-Driven</w:t>
      </w:r>
      <w:r>
        <w:t xml:space="preserve">: The alliance is characterized as informal, lending flexibility to its operations while being anchored in shared human rights and democratic principles. This values-driven approach ensures that foundational elements resonate with the objectives of both regions.</w:t>
      </w:r>
    </w:p>
    <w:p>
      <w:pPr>
        <w:pStyle w:val="Compact"/>
        <w:numPr>
          <w:ilvl w:val="0"/>
          <w:numId w:val="1001"/>
        </w:numPr>
      </w:pPr>
      <w:r>
        <w:rPr>
          <w:b/>
          <w:bCs/>
        </w:rPr>
        <w:t xml:space="preserve">Inclusive Participation</w:t>
      </w:r>
      <w:r>
        <w:t xml:space="preserve">: Open to all LAC countries and EU Member States engaged in digital agendas, the alliance encourages a broad base of involvement from government entities, private sector actors, civil society, and academic institutions. This inclusiveness is aimed at fostering a diverse dialogue and shared responsibility.</w:t>
      </w:r>
    </w:p>
    <w:bookmarkEnd w:id="21"/>
    <w:bookmarkStart w:id="22" w:name="strategic-objectives"/>
    <w:p>
      <w:pPr>
        <w:pStyle w:val="Heading3"/>
      </w:pPr>
      <w:r>
        <w:t xml:space="preserve">2. Strategic Objectives:</w:t>
      </w:r>
    </w:p>
    <w:p>
      <w:pPr>
        <w:pStyle w:val="Compact"/>
        <w:numPr>
          <w:ilvl w:val="0"/>
          <w:numId w:val="1002"/>
        </w:numPr>
      </w:pPr>
      <w:r>
        <w:rPr>
          <w:b/>
          <w:bCs/>
        </w:rPr>
        <w:t xml:space="preserve">Digital Cooperation</w:t>
      </w:r>
      <w:r>
        <w:t xml:space="preserve">: The primary goal is to establish a strategic vehicle for enhancing cooperation on various digital initiatives, ensuring sustained engagement across multiple facets of the digital economy.</w:t>
      </w:r>
    </w:p>
    <w:p>
      <w:pPr>
        <w:pStyle w:val="Compact"/>
        <w:numPr>
          <w:ilvl w:val="0"/>
          <w:numId w:val="1002"/>
        </w:numPr>
      </w:pPr>
      <w:r>
        <w:rPr>
          <w:b/>
          <w:bCs/>
        </w:rPr>
        <w:t xml:space="preserve">Focus on Human-Centric Development</w:t>
      </w:r>
      <w:r>
        <w:t xml:space="preserve">: The alliance promotes a human-centric digital economy, emphasizing that digitalization should aim to improve human welfare. This includes addressing issues like the digital divide and prioritizing sustainable development outcomes.</w:t>
      </w:r>
    </w:p>
    <w:bookmarkEnd w:id="22"/>
    <w:bookmarkStart w:id="23" w:name="core-themes-of-collaboration"/>
    <w:p>
      <w:pPr>
        <w:pStyle w:val="Heading3"/>
      </w:pPr>
      <w:r>
        <w:t xml:space="preserve">3. Core Themes of Collaboration:</w:t>
      </w:r>
    </w:p>
    <w:p>
      <w:pPr>
        <w:pStyle w:val="Compact"/>
        <w:numPr>
          <w:ilvl w:val="0"/>
          <w:numId w:val="1003"/>
        </w:numPr>
      </w:pPr>
      <w:r>
        <w:rPr>
          <w:b/>
          <w:bCs/>
        </w:rPr>
        <w:t xml:space="preserve">Key Areas of Dialogue</w:t>
      </w:r>
      <w:r>
        <w:t xml:space="preserve">: The alliance covers a broad spectrum of digital-related topics, such as internet governance, artificial intelligence, cybersecurity, digital trade, and connectivity. This broad approach signals a commitment to addressing contemporary digital challenges and opportunities.</w:t>
      </w:r>
    </w:p>
    <w:p>
      <w:pPr>
        <w:pStyle w:val="Compact"/>
        <w:numPr>
          <w:ilvl w:val="0"/>
          <w:numId w:val="1003"/>
        </w:numPr>
      </w:pPr>
      <w:r>
        <w:rPr>
          <w:b/>
          <w:bCs/>
        </w:rPr>
        <w:t xml:space="preserve">Shared Values on Digital Rights</w:t>
      </w:r>
      <w:r>
        <w:t xml:space="preserve">: The agenda upholds shared principles on data protection, privacy, and online safety. It aligns with the European Declaration on Digital Rights and Principles and the eLAC Digital Agenda 2024, promoting a digital landscape where offline rights and values are mirrored online.</w:t>
      </w:r>
    </w:p>
    <w:bookmarkEnd w:id="23"/>
    <w:bookmarkStart w:id="24" w:name="mechanisms-for-operations"/>
    <w:p>
      <w:pPr>
        <w:pStyle w:val="Heading3"/>
      </w:pPr>
      <w:r>
        <w:t xml:space="preserve">4. Mechanisms for Operations:</w:t>
      </w:r>
    </w:p>
    <w:p>
      <w:pPr>
        <w:pStyle w:val="Compact"/>
        <w:numPr>
          <w:ilvl w:val="0"/>
          <w:numId w:val="1004"/>
        </w:numPr>
      </w:pPr>
      <w:r>
        <w:rPr>
          <w:b/>
          <w:bCs/>
        </w:rPr>
        <w:t xml:space="preserve">Structured Framework for Dialogue</w:t>
      </w:r>
      <w:r>
        <w:t xml:space="preserve">: A structured framework provides channels for ongoing dialogues aimed at exchanging best practices on digital policy, cybersecurity, interoperability, and other mutual interests. This multi-faceted approach seeks to unite various stakeholders for coordinated action.</w:t>
      </w:r>
    </w:p>
    <w:p>
      <w:pPr>
        <w:pStyle w:val="Compact"/>
        <w:numPr>
          <w:ilvl w:val="0"/>
          <w:numId w:val="1004"/>
        </w:numPr>
      </w:pPr>
      <w:r>
        <w:rPr>
          <w:b/>
          <w:bCs/>
        </w:rPr>
        <w:t xml:space="preserve">Regular Review and Adaptation</w:t>
      </w:r>
      <w:r>
        <w:t xml:space="preserve">: The alliance includes mechanisms for regular reviews and adjustments, ensuring that priorities remain aligned with the rapidly evolving digital landscape, thereby allowing for flexibility in responding to emerging needs and opportunities.</w:t>
      </w:r>
    </w:p>
    <w:bookmarkEnd w:id="24"/>
    <w:bookmarkStart w:id="25" w:name="financial-and-project-initiatives"/>
    <w:p>
      <w:pPr>
        <w:pStyle w:val="Heading3"/>
      </w:pPr>
      <w:r>
        <w:t xml:space="preserve">5. Financial and Project Initiatives:</w:t>
      </w:r>
    </w:p>
    <w:p>
      <w:pPr>
        <w:pStyle w:val="Compact"/>
        <w:numPr>
          <w:ilvl w:val="0"/>
          <w:numId w:val="1005"/>
        </w:numPr>
      </w:pPr>
      <w:r>
        <w:rPr>
          <w:b/>
          <w:bCs/>
        </w:rPr>
        <w:t xml:space="preserve">Bi-Regional Investment Agenda</w:t>
      </w:r>
      <w:r>
        <w:t xml:space="preserve">: The framework involves a bi-regional investment agenda focused on developing projects in digital technology, supported by initiatives like the Global Gateway. This agenda seeks to mobilize significant resources for digital advancement.</w:t>
      </w:r>
    </w:p>
    <w:p>
      <w:pPr>
        <w:pStyle w:val="Compact"/>
        <w:numPr>
          <w:ilvl w:val="0"/>
          <w:numId w:val="1005"/>
        </w:numPr>
      </w:pPr>
      <w:r>
        <w:rPr>
          <w:b/>
          <w:bCs/>
        </w:rPr>
        <w:t xml:space="preserve">High-Priority Projects</w:t>
      </w:r>
      <w:r>
        <w:t xml:space="preserve">: Immediate initiatives include extending the BELLA fibre-optic cable, establishing regional Copernicus data centers in Panama and Chile, and launching the EU-LAC Digital Accelerator, which aims to foster innovative collaborations between European and LAC enterprises, including start-ups and SMEs.</w:t>
      </w:r>
    </w:p>
    <w:bookmarkEnd w:id="25"/>
    <w:bookmarkStart w:id="26" w:name="commitment-to-capacity-building"/>
    <w:p>
      <w:pPr>
        <w:pStyle w:val="Heading3"/>
      </w:pPr>
      <w:r>
        <w:t xml:space="preserve">6. Commitment to Capacity Building:</w:t>
      </w:r>
    </w:p>
    <w:p>
      <w:pPr>
        <w:pStyle w:val="Compact"/>
        <w:numPr>
          <w:ilvl w:val="0"/>
          <w:numId w:val="1006"/>
        </w:numPr>
      </w:pPr>
      <w:r>
        <w:rPr>
          <w:b/>
          <w:bCs/>
        </w:rPr>
        <w:t xml:space="preserve">Digital Competencies Development</w:t>
      </w:r>
      <w:r>
        <w:t xml:space="preserve">: By fostering digital skills and competencies among citizens, the alliance aims to empower individuals, especially marginalized groups like women and girls, to confidently engage in the digital economy. This capacity building is integral to promoting social cohesion and economic inclusion.</w:t>
      </w:r>
    </w:p>
    <w:bookmarkEnd w:id="26"/>
    <w:bookmarkStart w:id="27" w:name="collaborative-ventures-and-innovation"/>
    <w:p>
      <w:pPr>
        <w:pStyle w:val="Heading3"/>
      </w:pPr>
      <w:r>
        <w:t xml:space="preserve">7. Collaborative Ventures and Innovation:</w:t>
      </w:r>
    </w:p>
    <w:p>
      <w:pPr>
        <w:pStyle w:val="Compact"/>
        <w:numPr>
          <w:ilvl w:val="0"/>
          <w:numId w:val="1007"/>
        </w:numPr>
      </w:pPr>
      <w:r>
        <w:rPr>
          <w:b/>
          <w:bCs/>
        </w:rPr>
        <w:t xml:space="preserve">Formation of Joint Ventures</w:t>
      </w:r>
      <w:r>
        <w:t xml:space="preserve">: The EU-LAC Digital Accelerator aims for the establishment of at least 40 joint ventures that will catalyze innovation and enhance the digital transformation processes within both regions, bolstering partnerships and collaborative opportunities in the digital realm.</w:t>
      </w:r>
    </w:p>
    <w:p>
      <w:pPr>
        <w:pStyle w:val="FirstParagraph"/>
      </w:pPr>
      <w:r>
        <w:t xml:space="preserve">In conclusion, the EU-LAC Digital Alliance signifies a pivotal effort toward a synergistic relationship between the EU and LAC countries, aiming for comprehensive digital growth while championing human rights and sustainable development. Its structured yet flexible approach aims to foster meaningful changes in how digital technology impacts both economies and societies.</w:t>
      </w:r>
    </w:p>
    <w:bookmarkEnd w:id="27"/>
    <w:bookmarkEnd w:id="28"/>
    <w:bookmarkStart w:id="39" w:name="actors"/>
    <w:p>
      <w:pPr>
        <w:pStyle w:val="Heading2"/>
      </w:pPr>
      <w:r>
        <w:t xml:space="preserve">Actors</w:t>
      </w:r>
    </w:p>
    <w:p>
      <w:pPr>
        <w:pStyle w:val="FirstParagraph"/>
      </w:pPr>
      <w:r>
        <w:t xml:space="preserve">The EU-LAC Digital Alliance brings together a complex web of actors and stakeholders from diverse sectors, each contributing to its overarching goals of enhancing digital cooperation and fostering inclusive technological advancement. Below is a detailed breakdown of these key players:</w:t>
      </w:r>
    </w:p>
    <w:bookmarkStart w:id="29" w:name="european-union-institutions"/>
    <w:p>
      <w:pPr>
        <w:pStyle w:val="Heading3"/>
      </w:pPr>
      <w:r>
        <w:t xml:space="preserve">European Union Institutions</w:t>
      </w:r>
    </w:p>
    <w:p>
      <w:pPr>
        <w:pStyle w:val="Compact"/>
        <w:numPr>
          <w:ilvl w:val="0"/>
          <w:numId w:val="1008"/>
        </w:numPr>
      </w:pPr>
      <w:r>
        <w:rPr>
          <w:b/>
          <w:bCs/>
        </w:rPr>
        <w:t xml:space="preserve">European Commission</w:t>
      </w:r>
      <w:r>
        <w:t xml:space="preserve">: As the executive arm of the EU, the European Commission plays a crucial role in establishing the strategic direction for the alliance, formulating policies, and driving initiatives that promote digital cooperation.</w:t>
      </w:r>
    </w:p>
    <w:p>
      <w:pPr>
        <w:pStyle w:val="Compact"/>
        <w:numPr>
          <w:ilvl w:val="0"/>
          <w:numId w:val="1008"/>
        </w:numPr>
      </w:pPr>
      <w:r>
        <w:rPr>
          <w:b/>
          <w:bCs/>
        </w:rPr>
        <w:t xml:space="preserve">European Parliament</w:t>
      </w:r>
      <w:r>
        <w:t xml:space="preserve">: Members of the European Parliament (MEPs) advocate for the inclusion of shared values in the alliance and support measures that enhance digital rights and freedoms within the partnership.</w:t>
      </w:r>
    </w:p>
    <w:p>
      <w:pPr>
        <w:pStyle w:val="Compact"/>
        <w:numPr>
          <w:ilvl w:val="0"/>
          <w:numId w:val="1008"/>
        </w:numPr>
      </w:pPr>
      <w:r>
        <w:rPr>
          <w:b/>
          <w:bCs/>
        </w:rPr>
        <w:t xml:space="preserve">European External Action Service (EEAS)</w:t>
      </w:r>
      <w:r>
        <w:t xml:space="preserve">: This body ensures consistency in the EU’s foreign and security policy, facilitating diplomatic relations and enhanced collaboration with LAC countries.</w:t>
      </w:r>
    </w:p>
    <w:bookmarkEnd w:id="29"/>
    <w:bookmarkStart w:id="30" w:name="eu-member-states"/>
    <w:p>
      <w:pPr>
        <w:pStyle w:val="Heading3"/>
      </w:pPr>
      <w:r>
        <w:t xml:space="preserve">EU Member States</w:t>
      </w:r>
    </w:p>
    <w:p>
      <w:pPr>
        <w:pStyle w:val="Compact"/>
        <w:numPr>
          <w:ilvl w:val="0"/>
          <w:numId w:val="1009"/>
        </w:numPr>
      </w:pPr>
      <w:r>
        <w:rPr>
          <w:b/>
          <w:bCs/>
        </w:rPr>
        <w:t xml:space="preserve">Member State Governments</w:t>
      </w:r>
      <w:r>
        <w:t xml:space="preserve">: Governments of individual EU countries participate actively in the alliance, enabling bilateral and multilateral cooperation and contributing to the formulation of digital policies that reflect regional interests.</w:t>
      </w:r>
    </w:p>
    <w:p>
      <w:pPr>
        <w:pStyle w:val="Compact"/>
        <w:numPr>
          <w:ilvl w:val="0"/>
          <w:numId w:val="1009"/>
        </w:numPr>
      </w:pPr>
      <w:r>
        <w:rPr>
          <w:b/>
          <w:bCs/>
        </w:rPr>
        <w:t xml:space="preserve">Development Agencies</w:t>
      </w:r>
      <w:r>
        <w:t xml:space="preserve">: National development agencies from EU member states provide crucial funding, expertise, and resources for digital initiatives, ensuring alignment with development goals and regional connectivity.</w:t>
      </w:r>
    </w:p>
    <w:bookmarkEnd w:id="30"/>
    <w:bookmarkStart w:id="31" w:name="latin-american-and-caribbean-countries"/>
    <w:p>
      <w:pPr>
        <w:pStyle w:val="Heading3"/>
      </w:pPr>
      <w:r>
        <w:t xml:space="preserve">Latin American and Caribbean Countries</w:t>
      </w:r>
    </w:p>
    <w:p>
      <w:pPr>
        <w:pStyle w:val="Compact"/>
        <w:numPr>
          <w:ilvl w:val="0"/>
          <w:numId w:val="1010"/>
        </w:numPr>
      </w:pPr>
      <w:r>
        <w:rPr>
          <w:b/>
          <w:bCs/>
        </w:rPr>
        <w:t xml:space="preserve">National Governments</w:t>
      </w:r>
      <w:r>
        <w:t xml:space="preserve">: Countries like Argentina, Brazil, Mexico, Colombia, and Chile send representatives to the alliance who advocate for their national interests while aligning them with regional cooperation in digital affairs.</w:t>
      </w:r>
    </w:p>
    <w:p>
      <w:pPr>
        <w:pStyle w:val="Compact"/>
        <w:numPr>
          <w:ilvl w:val="0"/>
          <w:numId w:val="1010"/>
        </w:numPr>
      </w:pPr>
      <w:r>
        <w:rPr>
          <w:b/>
          <w:bCs/>
        </w:rPr>
        <w:t xml:space="preserve">Public Agencies</w:t>
      </w:r>
      <w:r>
        <w:t xml:space="preserve">: Government agencies focused on technology, communications, and digital agendas from LAC nations contribute insights and drive local initiatives that align with the EU-LAC Digital Alliance framework.</w:t>
      </w:r>
    </w:p>
    <w:bookmarkEnd w:id="31"/>
    <w:bookmarkStart w:id="32" w:name="multi-sectoral-stakeholders"/>
    <w:p>
      <w:pPr>
        <w:pStyle w:val="Heading3"/>
      </w:pPr>
      <w:r>
        <w:t xml:space="preserve">Multi-Sectoral Stakeholders</w:t>
      </w:r>
    </w:p>
    <w:p>
      <w:pPr>
        <w:pStyle w:val="Compact"/>
        <w:numPr>
          <w:ilvl w:val="0"/>
          <w:numId w:val="1011"/>
        </w:numPr>
      </w:pPr>
      <w:r>
        <w:rPr>
          <w:b/>
          <w:bCs/>
        </w:rPr>
        <w:t xml:space="preserve">Private Sector Companies</w:t>
      </w:r>
      <w:r>
        <w:t xml:space="preserve">: Businesses from both the EU and LAC regions, including technology firms, telecommunications providers, and start-ups, play a vital role in innovation and implementation of digital projects, driven by investment opportunities and market expansion.</w:t>
      </w:r>
    </w:p>
    <w:p>
      <w:pPr>
        <w:pStyle w:val="Compact"/>
        <w:numPr>
          <w:ilvl w:val="0"/>
          <w:numId w:val="1011"/>
        </w:numPr>
      </w:pPr>
      <w:r>
        <w:rPr>
          <w:b/>
          <w:bCs/>
        </w:rPr>
        <w:t xml:space="preserve">Academic Institutions</w:t>
      </w:r>
      <w:r>
        <w:t xml:space="preserve">: Universities and research centers engage in collaborative research, policy formation, and capacity building within the digital sector, ensuring that academic perspectives inform the alliance’s initiatives.</w:t>
      </w:r>
    </w:p>
    <w:p>
      <w:pPr>
        <w:pStyle w:val="Compact"/>
        <w:numPr>
          <w:ilvl w:val="0"/>
          <w:numId w:val="1011"/>
        </w:numPr>
      </w:pPr>
      <w:r>
        <w:rPr>
          <w:b/>
          <w:bCs/>
        </w:rPr>
        <w:t xml:space="preserve">Civil Society Organizations</w:t>
      </w:r>
      <w:r>
        <w:t xml:space="preserve">: Non-governmental organizations (NGOs) and advocacy groups advocate for human rights and equitable access to digital technologies, ensuring that marginalized communities, particularly women and girls, are represented in the alliance’s objectives.</w:t>
      </w:r>
    </w:p>
    <w:bookmarkEnd w:id="32"/>
    <w:bookmarkStart w:id="33" w:name="international-and-regional-organizations"/>
    <w:p>
      <w:pPr>
        <w:pStyle w:val="Heading3"/>
      </w:pPr>
      <w:r>
        <w:t xml:space="preserve">International and Regional Organizations</w:t>
      </w:r>
    </w:p>
    <w:p>
      <w:pPr>
        <w:pStyle w:val="Compact"/>
        <w:numPr>
          <w:ilvl w:val="0"/>
          <w:numId w:val="1012"/>
        </w:numPr>
      </w:pPr>
      <w:r>
        <w:rPr>
          <w:b/>
          <w:bCs/>
        </w:rPr>
        <w:t xml:space="preserve">UN Agencies</w:t>
      </w:r>
      <w:r>
        <w:t xml:space="preserve">: Organizations such as the UN Economic Commission for Latin America and the Caribbean (ECLAC) contribute to policy dialogues and research, ensuring alignment with broader international development goals.</w:t>
      </w:r>
    </w:p>
    <w:p>
      <w:pPr>
        <w:pStyle w:val="Compact"/>
        <w:numPr>
          <w:ilvl w:val="0"/>
          <w:numId w:val="1012"/>
        </w:numPr>
      </w:pPr>
      <w:r>
        <w:rPr>
          <w:b/>
          <w:bCs/>
        </w:rPr>
        <w:t xml:space="preserve">Regional Bodies</w:t>
      </w:r>
      <w:r>
        <w:t xml:space="preserve">: Organizations like the Community of Latin American and Caribbean States (CELAC) may also play a role in fostering regional cooperation and dialogue among member countries involved in the digital realm.</w:t>
      </w:r>
    </w:p>
    <w:bookmarkEnd w:id="33"/>
    <w:bookmarkStart w:id="34" w:name="technical-experts-and-consultants"/>
    <w:p>
      <w:pPr>
        <w:pStyle w:val="Heading3"/>
      </w:pPr>
      <w:r>
        <w:t xml:space="preserve">Technical Experts and Consultants</w:t>
      </w:r>
    </w:p>
    <w:p>
      <w:pPr>
        <w:pStyle w:val="Compact"/>
        <w:numPr>
          <w:ilvl w:val="0"/>
          <w:numId w:val="1013"/>
        </w:numPr>
      </w:pPr>
      <w:r>
        <w:rPr>
          <w:b/>
          <w:bCs/>
        </w:rPr>
        <w:t xml:space="preserve">Cybersecurity Experts</w:t>
      </w:r>
      <w:r>
        <w:t xml:space="preserve">: Specialists in cybersecurity ensure that digital initiatives adhere to best practices, protecting vital digital infrastructure and fostering trust among users.</w:t>
      </w:r>
    </w:p>
    <w:p>
      <w:pPr>
        <w:pStyle w:val="Compact"/>
        <w:numPr>
          <w:ilvl w:val="0"/>
          <w:numId w:val="1013"/>
        </w:numPr>
      </w:pPr>
      <w:r>
        <w:rPr>
          <w:b/>
          <w:bCs/>
        </w:rPr>
        <w:t xml:space="preserve">Data Governance Authorities</w:t>
      </w:r>
      <w:r>
        <w:t xml:space="preserve">: Experts focusing on data protection and privacy contribute to creating regulatory frameworks that respect individual rights in both online and offline contexts.</w:t>
      </w:r>
    </w:p>
    <w:bookmarkEnd w:id="34"/>
    <w:bookmarkStart w:id="35" w:name="financing-bodies"/>
    <w:p>
      <w:pPr>
        <w:pStyle w:val="Heading3"/>
      </w:pPr>
      <w:r>
        <w:t xml:space="preserve">Financing Bodies</w:t>
      </w:r>
    </w:p>
    <w:p>
      <w:pPr>
        <w:pStyle w:val="Compact"/>
        <w:numPr>
          <w:ilvl w:val="0"/>
          <w:numId w:val="1014"/>
        </w:numPr>
      </w:pPr>
      <w:r>
        <w:rPr>
          <w:b/>
          <w:bCs/>
        </w:rPr>
        <w:t xml:space="preserve">European Financial Institutions</w:t>
      </w:r>
      <w:r>
        <w:t xml:space="preserve">: Organizations such as the European Investment Bank (EIB) provide funding avenues for projects under the alliance, particularly those that address infrastructure and innovation.</w:t>
      </w:r>
    </w:p>
    <w:p>
      <w:pPr>
        <w:pStyle w:val="Compact"/>
        <w:numPr>
          <w:ilvl w:val="0"/>
          <w:numId w:val="1014"/>
        </w:numPr>
      </w:pPr>
      <w:r>
        <w:rPr>
          <w:b/>
          <w:bCs/>
        </w:rPr>
        <w:t xml:space="preserve">International Development Banks</w:t>
      </w:r>
      <w:r>
        <w:t xml:space="preserve">: Institutions like the Inter-American Development Bank (IDB) engage in financing digital projects that align with the goals of the EU-LAC Digital Alliance, facilitating broader economic growth.</w:t>
      </w:r>
    </w:p>
    <w:bookmarkEnd w:id="35"/>
    <w:bookmarkStart w:id="36" w:name="local-communities"/>
    <w:p>
      <w:pPr>
        <w:pStyle w:val="Heading3"/>
      </w:pPr>
      <w:r>
        <w:t xml:space="preserve">Local Communities</w:t>
      </w:r>
    </w:p>
    <w:p>
      <w:pPr>
        <w:pStyle w:val="Compact"/>
        <w:numPr>
          <w:ilvl w:val="0"/>
          <w:numId w:val="1015"/>
        </w:numPr>
      </w:pPr>
      <w:r>
        <w:rPr>
          <w:b/>
          <w:bCs/>
        </w:rPr>
        <w:t xml:space="preserve">Civic Groups and Local NGOs</w:t>
      </w:r>
      <w:r>
        <w:t xml:space="preserve">: Organizations that serve specific communities contribute grassroots perspectives, ensuring that project implementations reflect the needs and aspirations of local populations in both regions.</w:t>
      </w:r>
    </w:p>
    <w:bookmarkEnd w:id="36"/>
    <w:bookmarkStart w:id="37" w:name="emerging-stakeholders"/>
    <w:p>
      <w:pPr>
        <w:pStyle w:val="Heading3"/>
      </w:pPr>
      <w:r>
        <w:t xml:space="preserve">Emerging Stakeholders</w:t>
      </w:r>
    </w:p>
    <w:p>
      <w:pPr>
        <w:pStyle w:val="Compact"/>
        <w:numPr>
          <w:ilvl w:val="0"/>
          <w:numId w:val="1016"/>
        </w:numPr>
      </w:pPr>
      <w:r>
        <w:rPr>
          <w:b/>
          <w:bCs/>
        </w:rPr>
        <w:t xml:space="preserve">Startups and Innovators</w:t>
      </w:r>
      <w:r>
        <w:t xml:space="preserve">: Emerging entrepreneurs and tech start-ups drive innovation within the digital landscape, often serving as catalysts for change and collaboration in both the EU and LAC.</w:t>
      </w:r>
    </w:p>
    <w:p>
      <w:pPr>
        <w:pStyle w:val="Compact"/>
        <w:numPr>
          <w:ilvl w:val="0"/>
          <w:numId w:val="1016"/>
        </w:numPr>
      </w:pPr>
      <w:r>
        <w:rPr>
          <w:b/>
          <w:bCs/>
        </w:rPr>
        <w:t xml:space="preserve">Consultants and Industry Specialists</w:t>
      </w:r>
      <w:r>
        <w:t xml:space="preserve">: Private consultants in technology and digital policy can provide tailored advice and facilitate connections among diverse stakeholders engaging in digital transformation efforts.</w:t>
      </w:r>
    </w:p>
    <w:bookmarkEnd w:id="37"/>
    <w:bookmarkStart w:id="38" w:name="conclusion"/>
    <w:p>
      <w:pPr>
        <w:pStyle w:val="Heading3"/>
      </w:pPr>
      <w:r>
        <w:t xml:space="preserve">Conclusion</w:t>
      </w:r>
    </w:p>
    <w:p>
      <w:pPr>
        <w:pStyle w:val="FirstParagraph"/>
      </w:pPr>
      <w:r>
        <w:t xml:space="preserve">The EU-LAC Digital Alliance is a rich ecosystem of diverse stakeholders, each pivotal in shaping the alliance’s direction and success. By leveraging contributions from government bodies, private sector entities, civil society, academia, and international organizations, the alliance is well-positioned to accelerate digital cooperation and foster socio-economic development that benefits all citizens in the involved regions. The multifaceted nature of this alliance underscores its commitment to inclusivity, human rights, and sustainable development, aiming for a collaborative digital future that embodies shared values and principles.</w:t>
      </w:r>
    </w:p>
    <w:bookmarkEnd w:id="38"/>
    <w:bookmarkEnd w:id="39"/>
    <w:bookmarkStart w:id="50" w:name="main-themes"/>
    <w:p>
      <w:pPr>
        <w:pStyle w:val="Heading2"/>
      </w:pPr>
      <w:r>
        <w:t xml:space="preserve">Main Themes</w:t>
      </w:r>
    </w:p>
    <w:p>
      <w:pPr>
        <w:pStyle w:val="FirstParagraph"/>
      </w:pPr>
      <w:r>
        <w:t xml:space="preserve">The narrative on the establishment of the EU-LAC Digital Alliance highlights several key themes, which underscore the framework’s intent and potential impact on digital cooperation between the European Union and Latin America and the Caribbean. Below are the main themes explored in the document:</w:t>
      </w:r>
    </w:p>
    <w:bookmarkStart w:id="40" w:name="enhanced-digital-cooperation"/>
    <w:p>
      <w:pPr>
        <w:pStyle w:val="Heading3"/>
      </w:pPr>
      <w:r>
        <w:t xml:space="preserve">1.</w:t>
      </w:r>
      <w:r>
        <w:t xml:space="preserve"> </w:t>
      </w:r>
      <w:r>
        <w:rPr>
          <w:b/>
          <w:bCs/>
        </w:rPr>
        <w:t xml:space="preserve">Enhanced Digital Cooperation</w:t>
      </w:r>
    </w:p>
    <w:p>
      <w:pPr>
        <w:pStyle w:val="FirstParagraph"/>
      </w:pPr>
      <w:r>
        <w:t xml:space="preserve">The EU-LAC Digital Alliance is built on the premise of fostering stronger ties in the digital sector between the EU and LAC countries. By establishing a formal yet informal alliance, this partnership aims to promote collaboration through shared initiatives and programs. This theme reflects a growing recognition of the importance of digital technologies in driving socio-economic growth and development across regions.</w:t>
      </w:r>
    </w:p>
    <w:bookmarkEnd w:id="40"/>
    <w:bookmarkStart w:id="41" w:name="inclusivity-and-participation"/>
    <w:p>
      <w:pPr>
        <w:pStyle w:val="Heading3"/>
      </w:pPr>
      <w:r>
        <w:t xml:space="preserve">2.</w:t>
      </w:r>
      <w:r>
        <w:t xml:space="preserve"> </w:t>
      </w:r>
      <w:r>
        <w:rPr>
          <w:b/>
          <w:bCs/>
        </w:rPr>
        <w:t xml:space="preserve">Inclusivity and Participation</w:t>
      </w:r>
    </w:p>
    <w:p>
      <w:pPr>
        <w:pStyle w:val="FirstParagraph"/>
      </w:pPr>
      <w:r>
        <w:t xml:space="preserve">The alliance prioritizes inclusivity, welcoming participation from all LAC countries and EU Member States with interests in digital agendas. This focus on collaborative engagement underlines the importance of diverse perspectives and involvement from various stakeholders, including the private sector, academic institutions, and civil society. An inclusive approach encourages shared ownership and accountability in digital initiatives, which is vital for their success and sustainability.</w:t>
      </w:r>
    </w:p>
    <w:bookmarkEnd w:id="41"/>
    <w:bookmarkStart w:id="42" w:name="human-centric-digital-economy"/>
    <w:p>
      <w:pPr>
        <w:pStyle w:val="Heading3"/>
      </w:pPr>
      <w:r>
        <w:t xml:space="preserve">3.</w:t>
      </w:r>
      <w:r>
        <w:t xml:space="preserve"> </w:t>
      </w:r>
      <w:r>
        <w:rPr>
          <w:b/>
          <w:bCs/>
        </w:rPr>
        <w:t xml:space="preserve">Human-Centric Digital Economy</w:t>
      </w:r>
    </w:p>
    <w:p>
      <w:pPr>
        <w:pStyle w:val="FirstParagraph"/>
      </w:pPr>
      <w:r>
        <w:t xml:space="preserve">A fundamental pillar of the EU-LAC Digital Alliance is the commitment to a human-centric digital economy. This theme advocates that digitalization should primarily serve the welfare of individuals and communities. Hence, the alliance poses a vision where technology drives sustainable development, reduces the digital divide, promotes social cohesion, and emphasizes the importance of empowering marginalized groups, especially women and girls. This human-centric focus is essential for ensuring equitable benefits from digital advancements.</w:t>
      </w:r>
    </w:p>
    <w:bookmarkEnd w:id="42"/>
    <w:bookmarkStart w:id="43" w:name="shared-values-and-principles"/>
    <w:p>
      <w:pPr>
        <w:pStyle w:val="Heading3"/>
      </w:pPr>
      <w:r>
        <w:t xml:space="preserve">4.</w:t>
      </w:r>
      <w:r>
        <w:t xml:space="preserve"> </w:t>
      </w:r>
      <w:r>
        <w:rPr>
          <w:b/>
          <w:bCs/>
        </w:rPr>
        <w:t xml:space="preserve">Shared Values and Principles</w:t>
      </w:r>
    </w:p>
    <w:p>
      <w:pPr>
        <w:pStyle w:val="FirstParagraph"/>
      </w:pPr>
      <w:r>
        <w:t xml:space="preserve">Central to the alliance is the anchoring of shared human rights and democratic values, which guide its initiatives. The emphasis on aligning rights that exist offline with those online underscores the potential risks associated with digital technology, including data protection, privacy, and online safety. This theme aligns with existing European frameworks, such as the European Declaration on Digital Rights and Principles, which provide a strong ethical foundation for the alliance’s actions.</w:t>
      </w:r>
    </w:p>
    <w:bookmarkEnd w:id="43"/>
    <w:bookmarkStart w:id="44" w:name="strategic-digital-agenda"/>
    <w:p>
      <w:pPr>
        <w:pStyle w:val="Heading3"/>
      </w:pPr>
      <w:r>
        <w:t xml:space="preserve">5.</w:t>
      </w:r>
      <w:r>
        <w:t xml:space="preserve"> </w:t>
      </w:r>
      <w:r>
        <w:rPr>
          <w:b/>
          <w:bCs/>
        </w:rPr>
        <w:t xml:space="preserve">Strategic Digital Agenda</w:t>
      </w:r>
    </w:p>
    <w:p>
      <w:pPr>
        <w:pStyle w:val="FirstParagraph"/>
      </w:pPr>
      <w:r>
        <w:t xml:space="preserve">The establishment of a strategic avenue for ongoing and future digital cooperation is a core theme. This includes leveraging existing programs, such as the BELLA initiative for digital infrastructure and other cybersecurity projects under EL PAcCTO. The alliance not only aims to build on current efforts but also to expand the dialogue on critical digital issues, thereby promoting a comprehensive approach to digital governance and transformation.</w:t>
      </w:r>
    </w:p>
    <w:bookmarkEnd w:id="44"/>
    <w:bookmarkStart w:id="45" w:name="capacity-building-and-digital-skills"/>
    <w:p>
      <w:pPr>
        <w:pStyle w:val="Heading3"/>
      </w:pPr>
      <w:r>
        <w:t xml:space="preserve">6.</w:t>
      </w:r>
      <w:r>
        <w:t xml:space="preserve"> </w:t>
      </w:r>
      <w:r>
        <w:rPr>
          <w:b/>
          <w:bCs/>
        </w:rPr>
        <w:t xml:space="preserve">Capacity Building and Digital Skills</w:t>
      </w:r>
    </w:p>
    <w:p>
      <w:pPr>
        <w:pStyle w:val="FirstParagraph"/>
      </w:pPr>
      <w:r>
        <w:t xml:space="preserve">A significant objective of the alliance is to enhance digital competencies among citizens. By fostering digital literacy and skills development, the collaboration aims to prepare individuals to engage confidently in the digital economy. Capacity building is crucial for ensuring that citizens can leverage technology effectively, fostering innovation and participation.</w:t>
      </w:r>
    </w:p>
    <w:bookmarkEnd w:id="45"/>
    <w:bookmarkStart w:id="46" w:name="X383aaa188e0661ddccf9a02b03e9ca60c503c34"/>
    <w:p>
      <w:pPr>
        <w:pStyle w:val="Heading3"/>
      </w:pPr>
      <w:r>
        <w:t xml:space="preserve">7.</w:t>
      </w:r>
      <w:r>
        <w:t xml:space="preserve"> </w:t>
      </w:r>
      <w:r>
        <w:rPr>
          <w:b/>
          <w:bCs/>
        </w:rPr>
        <w:t xml:space="preserve">Regulatory Convergence and Best Practices</w:t>
      </w:r>
    </w:p>
    <w:p>
      <w:pPr>
        <w:pStyle w:val="FirstParagraph"/>
      </w:pPr>
      <w:r>
        <w:t xml:space="preserve">The creation of a structured framework for ongoing dialogue and exchange of best practices is pivotal for achieving convergence in regulatory frameworks. This theme reflects the need for coordinated efforts to address mutual interests in digital policy, cybersecurity, and interoperability. Such collaboration can lead to harmonized regulations that facilitate smoother cooperation and collaboration.</w:t>
      </w:r>
    </w:p>
    <w:bookmarkEnd w:id="46"/>
    <w:bookmarkStart w:id="47" w:name="investment-and-innovation"/>
    <w:p>
      <w:pPr>
        <w:pStyle w:val="Heading3"/>
      </w:pPr>
      <w:r>
        <w:t xml:space="preserve">8.</w:t>
      </w:r>
      <w:r>
        <w:t xml:space="preserve"> </w:t>
      </w:r>
      <w:r>
        <w:rPr>
          <w:b/>
          <w:bCs/>
        </w:rPr>
        <w:t xml:space="preserve">Investment and Innovation</w:t>
      </w:r>
    </w:p>
    <w:p>
      <w:pPr>
        <w:pStyle w:val="FirstParagraph"/>
      </w:pPr>
      <w:r>
        <w:t xml:space="preserve">A clear focus of the alliance is developing a bi-regional Investment Agenda in digital technology. High-priority projects, such as the expansion of digital infrastructure (e.g., BELLA cable and regional data centers), point to a strategic commitment to innovation and investment. By driving such initiatives, the alliance aims to not only enhance connectivity but also cultivate new opportunities for joint ventures and economic growth across regions.</w:t>
      </w:r>
    </w:p>
    <w:bookmarkEnd w:id="47"/>
    <w:bookmarkStart w:id="48" w:name="adaptability-and-continuous-improvement"/>
    <w:p>
      <w:pPr>
        <w:pStyle w:val="Heading3"/>
      </w:pPr>
      <w:r>
        <w:t xml:space="preserve">9.</w:t>
      </w:r>
      <w:r>
        <w:t xml:space="preserve"> </w:t>
      </w:r>
      <w:r>
        <w:rPr>
          <w:b/>
          <w:bCs/>
        </w:rPr>
        <w:t xml:space="preserve">Adaptability and Continuous Improvement</w:t>
      </w:r>
    </w:p>
    <w:p>
      <w:pPr>
        <w:pStyle w:val="FirstParagraph"/>
      </w:pPr>
      <w:r>
        <w:t xml:space="preserve">The alliance’s commitment to regular reviews and adjustments based on emerging needs signals an important theme of adaptability. This approach recognizes the rapidly evolving digital landscape and the necessity for stakeholders to remain responsive to changes and challenges. By fostering an environment of continuous evolution, the EU-LAC Digital Alliance embodies a proactive and flexible strategy aimed at sustained success.</w:t>
      </w:r>
    </w:p>
    <w:bookmarkEnd w:id="48"/>
    <w:bookmarkStart w:id="49" w:name="conclusion-1"/>
    <w:p>
      <w:pPr>
        <w:pStyle w:val="Heading3"/>
      </w:pPr>
      <w:r>
        <w:t xml:space="preserve">Conclusion</w:t>
      </w:r>
    </w:p>
    <w:p>
      <w:pPr>
        <w:pStyle w:val="FirstParagraph"/>
      </w:pPr>
      <w:r>
        <w:t xml:space="preserve">The EU-LAC Digital Alliance serves as a pioneering initiative focused on digital collaboration, inclusivity, human-centric development, shared values, and strategic investment in the digital realm. These themes collectively underline a commitment to mutual growth, socio-economic progress, and social equity, creating a foundation for a robust digital future for both regions.</w:t>
      </w:r>
    </w:p>
    <w:bookmarkEnd w:id="49"/>
    <w:bookmarkEnd w:id="50"/>
    <w:bookmarkStart w:id="51" w:name="practical-applications"/>
    <w:p>
      <w:pPr>
        <w:pStyle w:val="Heading2"/>
      </w:pPr>
      <w:r>
        <w:t xml:space="preserve">Practical Applications</w:t>
      </w:r>
    </w:p>
    <w:p>
      <w:pPr>
        <w:pStyle w:val="FirstParagraph"/>
      </w:pPr>
      <w:r>
        <w:t xml:space="preserve">The EU-LAC Digital Alliance, established on July 17, 2023, offers several practical applications aimed at fostering digital cooperation, enhancing technological capacity, and addressing social challenges in both regions. Here are some specific examples of potential applications:</w:t>
      </w:r>
    </w:p>
    <w:p>
      <w:pPr>
        <w:pStyle w:val="Compact"/>
        <w:numPr>
          <w:ilvl w:val="0"/>
          <w:numId w:val="1017"/>
        </w:numPr>
      </w:pPr>
      <w:r>
        <w:rPr>
          <w:b/>
          <w:bCs/>
        </w:rPr>
        <w:t xml:space="preserve">Digital Infrastructure Development</w:t>
      </w:r>
      <w:r>
        <w:t xml:space="preserve">:</w:t>
      </w:r>
    </w:p>
    <w:p>
      <w:pPr>
        <w:pStyle w:val="Compact"/>
        <w:numPr>
          <w:ilvl w:val="1"/>
          <w:numId w:val="1018"/>
        </w:numPr>
      </w:pPr>
      <w:r>
        <w:rPr>
          <w:b/>
          <w:bCs/>
        </w:rPr>
        <w:t xml:space="preserve">BELLA Initiative Expansion</w:t>
      </w:r>
      <w:r>
        <w:t xml:space="preserve">: By extending the BELLA fibre-optic cable network, countries in LAC can improve internet connectivity, particularly in remote and underserved areas. For example, a project to connect rural communities in Brazil and Argentina with high-speed internet could facilitate remote education, telehealth services, and business operations, thereby promoting local economic development.</w:t>
      </w:r>
    </w:p>
    <w:p>
      <w:pPr>
        <w:pStyle w:val="Compact"/>
        <w:numPr>
          <w:ilvl w:val="0"/>
          <w:numId w:val="1017"/>
        </w:numPr>
      </w:pPr>
      <w:r>
        <w:rPr>
          <w:b/>
          <w:bCs/>
        </w:rPr>
        <w:t xml:space="preserve">Cybersecurity Initiatives</w:t>
      </w:r>
      <w:r>
        <w:t xml:space="preserve">:</w:t>
      </w:r>
    </w:p>
    <w:p>
      <w:pPr>
        <w:pStyle w:val="Compact"/>
        <w:numPr>
          <w:ilvl w:val="1"/>
          <w:numId w:val="1019"/>
        </w:numPr>
      </w:pPr>
      <w:r>
        <w:rPr>
          <w:b/>
          <w:bCs/>
        </w:rPr>
        <w:t xml:space="preserve">EL PAcCTO Program Implementation</w:t>
      </w:r>
      <w:r>
        <w:t xml:space="preserve">: Countries might implement cybersecurity training and frameworks under the EL PAcCTO initiative to protect citizens’ data and secure critical infrastructure. For instance, law enforcement and governmental agencies in Colombia could receive training on best practices for combating cybercrime, thereby increasing safety and trust among the digital population.</w:t>
      </w:r>
    </w:p>
    <w:p>
      <w:pPr>
        <w:pStyle w:val="Compact"/>
        <w:numPr>
          <w:ilvl w:val="0"/>
          <w:numId w:val="1017"/>
        </w:numPr>
      </w:pPr>
      <w:r>
        <w:rPr>
          <w:b/>
          <w:bCs/>
        </w:rPr>
        <w:t xml:space="preserve">AI Research and Development</w:t>
      </w:r>
      <w:r>
        <w:t xml:space="preserve">:</w:t>
      </w:r>
    </w:p>
    <w:p>
      <w:pPr>
        <w:pStyle w:val="Compact"/>
        <w:numPr>
          <w:ilvl w:val="1"/>
          <w:numId w:val="1020"/>
        </w:numPr>
      </w:pPr>
      <w:r>
        <w:t xml:space="preserve">A joint research initiative between European universities and academic institutions in Mexico could lead to projects that explore ethical AI applications in healthcare. Collaboratively developing AI models to diagnose diseases more accurately could improve patient outcomes while ensuring that ethical considerations regarding data use and algorithmic bias are addressed.</w:t>
      </w:r>
    </w:p>
    <w:p>
      <w:pPr>
        <w:pStyle w:val="Compact"/>
        <w:numPr>
          <w:ilvl w:val="0"/>
          <w:numId w:val="1017"/>
        </w:numPr>
      </w:pPr>
      <w:r>
        <w:rPr>
          <w:b/>
          <w:bCs/>
        </w:rPr>
        <w:t xml:space="preserve">Digital Trade Facilitation</w:t>
      </w:r>
      <w:r>
        <w:t xml:space="preserve">:</w:t>
      </w:r>
    </w:p>
    <w:p>
      <w:pPr>
        <w:pStyle w:val="Compact"/>
        <w:numPr>
          <w:ilvl w:val="1"/>
          <w:numId w:val="1021"/>
        </w:numPr>
      </w:pPr>
      <w:r>
        <w:t xml:space="preserve">The alliance could establish a digital trade framework that simplifies customs processes between Europe and LAC countries. For example, by implementing joint digital systems for customs documentation, exports of agricultural products like avocados from Mexico could experience fewer delays, boosting trade efficiency and revenue.</w:t>
      </w:r>
    </w:p>
    <w:p>
      <w:pPr>
        <w:pStyle w:val="Compact"/>
        <w:numPr>
          <w:ilvl w:val="0"/>
          <w:numId w:val="1017"/>
        </w:numPr>
      </w:pPr>
      <w:r>
        <w:rPr>
          <w:b/>
          <w:bCs/>
        </w:rPr>
        <w:t xml:space="preserve">Data Governance Workshops</w:t>
      </w:r>
      <w:r>
        <w:t xml:space="preserve">:</w:t>
      </w:r>
    </w:p>
    <w:p>
      <w:pPr>
        <w:pStyle w:val="Compact"/>
        <w:numPr>
          <w:ilvl w:val="1"/>
          <w:numId w:val="1022"/>
        </w:numPr>
      </w:pPr>
      <w:r>
        <w:t xml:space="preserve">The EU and LAC could hold workshops to share best practices in data governance and privacy protection concerning personal data. For instance, Brazil could learn from Europe’s General Data Protection Regulation (GDPR) experience, helping shape its own data protection laws in a way that respects citizens’ rights while promoting digital innovation.</w:t>
      </w:r>
    </w:p>
    <w:p>
      <w:pPr>
        <w:pStyle w:val="Compact"/>
        <w:numPr>
          <w:ilvl w:val="0"/>
          <w:numId w:val="1017"/>
        </w:numPr>
      </w:pPr>
      <w:r>
        <w:rPr>
          <w:b/>
          <w:bCs/>
        </w:rPr>
        <w:t xml:space="preserve">Human-Centric Digital Economy Programs</w:t>
      </w:r>
      <w:r>
        <w:t xml:space="preserve">:</w:t>
      </w:r>
    </w:p>
    <w:p>
      <w:pPr>
        <w:pStyle w:val="Compact"/>
        <w:numPr>
          <w:ilvl w:val="1"/>
          <w:numId w:val="1023"/>
        </w:numPr>
      </w:pPr>
      <w:r>
        <w:t xml:space="preserve">Programs focusing on upskilling initiatives for women and marginalized groups could be developed. For example, a project that trains women in digital skills across the region, facilitated by partnerships between NGOs in Argentina and EU tech companies, can empower them to enter the tech workforce and contribute to the economy, thus tackling gender disparities in digital sectors.</w:t>
      </w:r>
    </w:p>
    <w:p>
      <w:pPr>
        <w:pStyle w:val="Compact"/>
        <w:numPr>
          <w:ilvl w:val="0"/>
          <w:numId w:val="1017"/>
        </w:numPr>
      </w:pPr>
      <w:r>
        <w:rPr>
          <w:b/>
          <w:bCs/>
        </w:rPr>
        <w:t xml:space="preserve">Regional Copernicus Data Centers</w:t>
      </w:r>
      <w:r>
        <w:t xml:space="preserve">:</w:t>
      </w:r>
    </w:p>
    <w:p>
      <w:pPr>
        <w:pStyle w:val="Compact"/>
        <w:numPr>
          <w:ilvl w:val="1"/>
          <w:numId w:val="1024"/>
        </w:numPr>
      </w:pPr>
      <w:r>
        <w:t xml:space="preserve">The establishment of Copernicus data centers in Panama and Chile would enable both regions to collaboratively monitor climate change using satellite data. By sharing resources and research, regions could refine agricultural practices based on climate data, supporting environmental sustainability while ensuring food security.</w:t>
      </w:r>
    </w:p>
    <w:p>
      <w:pPr>
        <w:pStyle w:val="Compact"/>
        <w:numPr>
          <w:ilvl w:val="0"/>
          <w:numId w:val="1017"/>
        </w:numPr>
      </w:pPr>
      <w:r>
        <w:rPr>
          <w:b/>
          <w:bCs/>
        </w:rPr>
        <w:t xml:space="preserve">Digital Accelerator for Start-ups</w:t>
      </w:r>
      <w:r>
        <w:t xml:space="preserve">:</w:t>
      </w:r>
    </w:p>
    <w:p>
      <w:pPr>
        <w:pStyle w:val="Compact"/>
        <w:numPr>
          <w:ilvl w:val="1"/>
          <w:numId w:val="1025"/>
        </w:numPr>
      </w:pPr>
      <w:r>
        <w:t xml:space="preserve">The EU-LAC Digital Accelerator could facilitate connection points for European and LAC start-ups. An EU company specializing in fintech could partner with a Latin American startup focused on mobile banking solutions, creating a joint venture that enhances financial inclusion in countries like Colombia or Peru.</w:t>
      </w:r>
    </w:p>
    <w:p>
      <w:pPr>
        <w:pStyle w:val="Compact"/>
        <w:numPr>
          <w:ilvl w:val="0"/>
          <w:numId w:val="1017"/>
        </w:numPr>
      </w:pPr>
      <w:r>
        <w:rPr>
          <w:b/>
          <w:bCs/>
        </w:rPr>
        <w:t xml:space="preserve">Social Innovation Projects</w:t>
      </w:r>
      <w:r>
        <w:t xml:space="preserve">:</w:t>
      </w:r>
    </w:p>
    <w:p>
      <w:pPr>
        <w:pStyle w:val="Compact"/>
        <w:numPr>
          <w:ilvl w:val="1"/>
          <w:numId w:val="1026"/>
        </w:numPr>
      </w:pPr>
      <w:r>
        <w:t xml:space="preserve">Initiatives aimed at closing the digital divide could see the deployment of mobile tech labs in rural areas of LAC to teach coding and digital literacy to high school students. This could be supported by EU volunteers with expertise in technology and education, fostering a new generation skilled in digital economies.</w:t>
      </w:r>
    </w:p>
    <w:p>
      <w:pPr>
        <w:pStyle w:val="Compact"/>
        <w:numPr>
          <w:ilvl w:val="0"/>
          <w:numId w:val="1017"/>
        </w:numPr>
      </w:pPr>
      <w:r>
        <w:rPr>
          <w:b/>
          <w:bCs/>
        </w:rPr>
        <w:t xml:space="preserve">Regular Dialogue Meetings</w:t>
      </w:r>
      <w:r>
        <w:t xml:space="preserve">:</w:t>
      </w:r>
    </w:p>
    <w:p>
      <w:pPr>
        <w:pStyle w:val="Compact"/>
        <w:numPr>
          <w:ilvl w:val="1"/>
          <w:numId w:val="1027"/>
        </w:numPr>
      </w:pPr>
      <w:r>
        <w:t xml:space="preserve">Establishing a quarterly review and dialogue framework could result in ongoing assessments of digital policies, cybersecurity measures, and regulatory frameworks. This could involve representatives from different sectors, including governments and private organizations, to brainstorm solutions to emerging digital challenges, ensuring that the collaboration remains relevant and adaptive.</w:t>
      </w:r>
    </w:p>
    <w:p>
      <w:pPr>
        <w:pStyle w:val="FirstParagraph"/>
      </w:pPr>
      <w:r>
        <w:t xml:space="preserve">These examples illustrate the potential of the EU-LAC Digital Alliance to not only boost digital capabilities within the involved countries, but also to address specific social issues, promote inclusivity, and drive meaningful economic growth through collaborative efforts.</w:t>
      </w:r>
    </w:p>
    <w:bookmarkEnd w:id="51"/>
    <w:bookmarkStart w:id="53" w:name="resulting-commitments"/>
    <w:p>
      <w:pPr>
        <w:pStyle w:val="Heading2"/>
      </w:pPr>
      <w:r>
        <w:t xml:space="preserve">Resulting Commitments</w:t>
      </w:r>
    </w:p>
    <w:p>
      <w:pPr>
        <w:pStyle w:val="FirstParagraph"/>
      </w:pPr>
      <w:r>
        <w:t xml:space="preserve">The establishment of the EU-LAC Digital Alliance on July 17, 2023, led to a number of significant commitments aimed at enhancing digital cooperation between the European Union and Latin American and Caribbean countries. These commitments can be categorized into several key areas:</w:t>
      </w:r>
    </w:p>
    <w:p>
      <w:pPr>
        <w:pStyle w:val="Compact"/>
        <w:numPr>
          <w:ilvl w:val="0"/>
          <w:numId w:val="1028"/>
        </w:numPr>
      </w:pPr>
      <w:r>
        <w:rPr>
          <w:b/>
          <w:bCs/>
        </w:rPr>
        <w:t xml:space="preserve">Inclusive Participation:</w:t>
      </w:r>
    </w:p>
    <w:p>
      <w:pPr>
        <w:pStyle w:val="Compact"/>
        <w:numPr>
          <w:ilvl w:val="1"/>
          <w:numId w:val="1029"/>
        </w:numPr>
      </w:pPr>
      <w:r>
        <w:rPr>
          <w:b/>
          <w:bCs/>
        </w:rPr>
        <w:t xml:space="preserve">Commitment to Inclusion</w:t>
      </w:r>
      <w:r>
        <w:t xml:space="preserve">: The alliance allows for the participation of all LAC countries and EU member states involved in digital agendas, ensuring that diverse perspectives and needs are considered. This inclusivity aims to foster broader cooperation across various stakeholders, including private sectors, academic institutions, and civil society organizations.</w:t>
      </w:r>
    </w:p>
    <w:p>
      <w:pPr>
        <w:pStyle w:val="Compact"/>
        <w:numPr>
          <w:ilvl w:val="0"/>
          <w:numId w:val="1028"/>
        </w:numPr>
      </w:pPr>
      <w:r>
        <w:rPr>
          <w:b/>
          <w:bCs/>
        </w:rPr>
        <w:t xml:space="preserve">Values-Driven Framework:</w:t>
      </w:r>
    </w:p>
    <w:p>
      <w:pPr>
        <w:pStyle w:val="Compact"/>
        <w:numPr>
          <w:ilvl w:val="1"/>
          <w:numId w:val="1030"/>
        </w:numPr>
      </w:pPr>
      <w:r>
        <w:rPr>
          <w:b/>
          <w:bCs/>
        </w:rPr>
        <w:t xml:space="preserve">Promotion of Shared Human Rights</w:t>
      </w:r>
      <w:r>
        <w:t xml:space="preserve">: The partnership emphasizes the protection of human rights and democratic values, ensuring that digital transformation aligns with social equity and empowerment for all citizens. This commitment mandates that rights enjoyed offline are mirrored in the digital realm.</w:t>
      </w:r>
    </w:p>
    <w:p>
      <w:pPr>
        <w:pStyle w:val="Compact"/>
        <w:numPr>
          <w:ilvl w:val="0"/>
          <w:numId w:val="1028"/>
        </w:numPr>
      </w:pPr>
      <w:r>
        <w:rPr>
          <w:b/>
          <w:bCs/>
        </w:rPr>
        <w:t xml:space="preserve">Strategic Digital Cooperation:</w:t>
      </w:r>
    </w:p>
    <w:p>
      <w:pPr>
        <w:pStyle w:val="Compact"/>
        <w:numPr>
          <w:ilvl w:val="1"/>
          <w:numId w:val="1031"/>
        </w:numPr>
      </w:pPr>
      <w:r>
        <w:rPr>
          <w:b/>
          <w:bCs/>
        </w:rPr>
        <w:t xml:space="preserve">Ongoing Digital Initiatives</w:t>
      </w:r>
      <w:r>
        <w:t xml:space="preserve">: The alliance aims to provide a strategic framework for long-term digital cooperation, building on existing programs like BELLA (which focuses on digital infrastructure), cybersecurity initiatives under EL PAcCTO, and projects related to data governance and technological advancements.</w:t>
      </w:r>
    </w:p>
    <w:p>
      <w:pPr>
        <w:pStyle w:val="Compact"/>
        <w:numPr>
          <w:ilvl w:val="0"/>
          <w:numId w:val="1028"/>
        </w:numPr>
      </w:pPr>
      <w:r>
        <w:rPr>
          <w:b/>
          <w:bCs/>
        </w:rPr>
        <w:t xml:space="preserve">Human-Centric Digital Economy:</w:t>
      </w:r>
    </w:p>
    <w:p>
      <w:pPr>
        <w:pStyle w:val="Compact"/>
        <w:numPr>
          <w:ilvl w:val="1"/>
          <w:numId w:val="1032"/>
        </w:numPr>
      </w:pPr>
      <w:r>
        <w:rPr>
          <w:b/>
          <w:bCs/>
        </w:rPr>
        <w:t xml:space="preserve">Focus on Sustainable Development</w:t>
      </w:r>
      <w:r>
        <w:t xml:space="preserve">: The commitment to establish a human-centric digital economy ensures that technological advancements prioritize human welfare, close the digital divide, promote social cohesion, and create opportunities especially for marginalized groups, including women and girls.</w:t>
      </w:r>
    </w:p>
    <w:p>
      <w:pPr>
        <w:pStyle w:val="Compact"/>
        <w:numPr>
          <w:ilvl w:val="0"/>
          <w:numId w:val="1028"/>
        </w:numPr>
      </w:pPr>
      <w:r>
        <w:rPr>
          <w:b/>
          <w:bCs/>
        </w:rPr>
        <w:t xml:space="preserve">Data Protection and Privacy:</w:t>
      </w:r>
    </w:p>
    <w:p>
      <w:pPr>
        <w:pStyle w:val="Compact"/>
        <w:numPr>
          <w:ilvl w:val="1"/>
          <w:numId w:val="1033"/>
        </w:numPr>
      </w:pPr>
      <w:r>
        <w:rPr>
          <w:b/>
          <w:bCs/>
        </w:rPr>
        <w:t xml:space="preserve">Alignment with International Standards</w:t>
      </w:r>
      <w:r>
        <w:t xml:space="preserve">: The alliance commits to uphold high standards of data protection, privacy, and online safety, in line with frameworks such as the European Declaration on Digital Rights and Principles. This includes ensuring that data governance frameworks respect individuals’ rights and secure their online information.</w:t>
      </w:r>
    </w:p>
    <w:p>
      <w:pPr>
        <w:pStyle w:val="Compact"/>
        <w:numPr>
          <w:ilvl w:val="0"/>
          <w:numId w:val="1028"/>
        </w:numPr>
      </w:pPr>
      <w:r>
        <w:rPr>
          <w:b/>
          <w:bCs/>
        </w:rPr>
        <w:t xml:space="preserve">Structured Framework for Dialogue:</w:t>
      </w:r>
    </w:p>
    <w:p>
      <w:pPr>
        <w:pStyle w:val="Compact"/>
        <w:numPr>
          <w:ilvl w:val="1"/>
          <w:numId w:val="1034"/>
        </w:numPr>
      </w:pPr>
      <w:r>
        <w:rPr>
          <w:b/>
          <w:bCs/>
        </w:rPr>
        <w:t xml:space="preserve">Ongoing Exchange of Best Practices</w:t>
      </w:r>
      <w:r>
        <w:t xml:space="preserve">: A commitment to establish structured dialogue forums is designed for stakeholders to share best practices in areas such as digital policy, cybersecurity, interoperability, and mutual interests, fostering collaborative action that addresses shared challenges.</w:t>
      </w:r>
    </w:p>
    <w:p>
      <w:pPr>
        <w:pStyle w:val="Compact"/>
        <w:numPr>
          <w:ilvl w:val="0"/>
          <w:numId w:val="1028"/>
        </w:numPr>
      </w:pPr>
      <w:r>
        <w:rPr>
          <w:b/>
          <w:bCs/>
        </w:rPr>
        <w:t xml:space="preserve">Bi-Regional Investment Agenda:</w:t>
      </w:r>
    </w:p>
    <w:p>
      <w:pPr>
        <w:pStyle w:val="Compact"/>
        <w:numPr>
          <w:ilvl w:val="1"/>
          <w:numId w:val="1035"/>
        </w:numPr>
      </w:pPr>
      <w:r>
        <w:rPr>
          <w:b/>
          <w:bCs/>
        </w:rPr>
        <w:t xml:space="preserve">Investment in Digital Technology</w:t>
      </w:r>
      <w:r>
        <w:t xml:space="preserve">: A commitment to develop a bi-regional Investment Agenda, supported by the Global Gateway initiative, seeks to fund and facilitate projects that enhance digital technology infrastructure and innovation across both regions.</w:t>
      </w:r>
    </w:p>
    <w:p>
      <w:pPr>
        <w:pStyle w:val="Compact"/>
        <w:numPr>
          <w:ilvl w:val="0"/>
          <w:numId w:val="1028"/>
        </w:numPr>
      </w:pPr>
      <w:r>
        <w:rPr>
          <w:b/>
          <w:bCs/>
        </w:rPr>
        <w:t xml:space="preserve">Priority Initiatives and Projects:</w:t>
      </w:r>
    </w:p>
    <w:p>
      <w:pPr>
        <w:pStyle w:val="Compact"/>
        <w:numPr>
          <w:ilvl w:val="1"/>
          <w:numId w:val="1036"/>
        </w:numPr>
      </w:pPr>
      <w:r>
        <w:rPr>
          <w:b/>
          <w:bCs/>
        </w:rPr>
        <w:t xml:space="preserve">Execution of Specific Projects</w:t>
      </w:r>
      <w:r>
        <w:t xml:space="preserve">: The alliance agrees to prioritize near-term initiatives, including the extension of the BELLA fibre-optic cable, creation of regional Copernicus data centers in Panama and Chile, and the establishment of the EU-LAC Digital Accelerator to promote joint ventures and foster innovation.</w:t>
      </w:r>
    </w:p>
    <w:p>
      <w:pPr>
        <w:pStyle w:val="Compact"/>
        <w:numPr>
          <w:ilvl w:val="0"/>
          <w:numId w:val="1028"/>
        </w:numPr>
      </w:pPr>
      <w:r>
        <w:rPr>
          <w:b/>
          <w:bCs/>
        </w:rPr>
        <w:t xml:space="preserve">Regular Review and Adaptation:</w:t>
      </w:r>
    </w:p>
    <w:p>
      <w:pPr>
        <w:pStyle w:val="Compact"/>
        <w:numPr>
          <w:ilvl w:val="1"/>
          <w:numId w:val="1037"/>
        </w:numPr>
      </w:pPr>
      <w:r>
        <w:rPr>
          <w:b/>
          <w:bCs/>
        </w:rPr>
        <w:t xml:space="preserve">Commitment to Constant Evolution</w:t>
      </w:r>
      <w:r>
        <w:t xml:space="preserve">: The alliance commits to regular reviews of its priorities and strategies, allowing for adaptation to the rapidly evolving digital landscape and emerging needs. This ongoing evaluation ensures that the alliance remains relevant and effective in addressing new challenges and opportunities.</w:t>
      </w:r>
    </w:p>
    <w:p>
      <w:pPr>
        <w:pStyle w:val="FirstParagraph"/>
      </w:pPr>
      <w:r>
        <w:t xml:space="preserve">Through these commitments, the EU-LAC Digital Alliance seeks to build a robust framework for digital cooperation that promotes social equity, economic growth, and technological advancement while preserving shared democratic values and human rights principles.</w:t>
      </w:r>
    </w:p>
    <w:p>
      <w:pPr>
        <w:pStyle w:val="BodyText"/>
      </w:pPr>
      <w:r>
        <w:rPr>
          <w:b/>
          <w:bCs/>
        </w:rPr>
        <w:t xml:space="preserve">Tags Identified:</w:t>
      </w:r>
    </w:p>
    <w:p>
      <w:pPr>
        <w:numPr>
          <w:ilvl w:val="0"/>
          <w:numId w:val="1038"/>
        </w:numPr>
      </w:pPr>
      <w:r>
        <w:rPr>
          <w:b/>
          <w:bCs/>
        </w:rPr>
        <w:t xml:space="preserve">Digital Transformation &amp; Strategy:</w:t>
      </w:r>
      <w:r>
        <w:t xml:space="preserve"> </w:t>
      </w:r>
      <w:r>
        <w:t xml:space="preserve">Digital Agenda, Digital Decade, Digital Trade, Digital Policy, Digital Economy</w:t>
      </w:r>
    </w:p>
    <w:p>
      <w:pPr>
        <w:numPr>
          <w:ilvl w:val="0"/>
          <w:numId w:val="1038"/>
        </w:numPr>
      </w:pPr>
      <w:r>
        <w:rPr>
          <w:b/>
          <w:bCs/>
        </w:rPr>
        <w:t xml:space="preserve">Technology &amp; Innovation:</w:t>
      </w:r>
      <w:r>
        <w:t xml:space="preserve"> </w:t>
      </w:r>
      <w:r>
        <w:t xml:space="preserve">Artificial Intelligence</w:t>
      </w:r>
    </w:p>
    <w:p>
      <w:pPr>
        <w:numPr>
          <w:ilvl w:val="0"/>
          <w:numId w:val="1038"/>
        </w:numPr>
      </w:pPr>
      <w:r>
        <w:rPr>
          <w:b/>
          <w:bCs/>
        </w:rPr>
        <w:t xml:space="preserve">Data &amp; Governance:</w:t>
      </w:r>
      <w:r>
        <w:t xml:space="preserve"> </w:t>
      </w:r>
      <w:r>
        <w:t xml:space="preserve">Data Governance, Digital Rights, Data Protection, Cybersecurity, Internet Governance</w:t>
      </w:r>
    </w:p>
    <w:p>
      <w:pPr>
        <w:numPr>
          <w:ilvl w:val="0"/>
          <w:numId w:val="1038"/>
        </w:numPr>
      </w:pPr>
      <w:r>
        <w:rPr>
          <w:b/>
          <w:bCs/>
        </w:rPr>
        <w:t xml:space="preserve">Inclusion &amp; Social Development:</w:t>
      </w:r>
      <w:r>
        <w:t xml:space="preserve"> </w:t>
      </w:r>
      <w:r>
        <w:t xml:space="preserve">Social Cohesion, Connectivity</w:t>
      </w:r>
    </w:p>
    <w:p>
      <w:pPr>
        <w:numPr>
          <w:ilvl w:val="0"/>
          <w:numId w:val="1038"/>
        </w:numPr>
      </w:pPr>
      <w:r>
        <w:rPr>
          <w:b/>
          <w:bCs/>
        </w:rPr>
        <w:t xml:space="preserve">Regional &amp; International Cooperation:</w:t>
      </w:r>
      <w:r>
        <w:t xml:space="preserve"> </w:t>
      </w:r>
      <w:r>
        <w:t xml:space="preserve">EU-LAC Digital Alliance</w:t>
      </w:r>
    </w:p>
    <w:p>
      <w:pPr>
        <w:pStyle w:val="FirstParagraph"/>
      </w:pPr>
      <w:hyperlink r:id="rId52">
        <w:r>
          <w:rPr>
            <w:rStyle w:val="Hyperlink"/>
          </w:rPr>
          <w:t xml:space="preserve">Original Document</w:t>
        </w:r>
      </w:hyperlink>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2" Target="EU-Latin_America_and_Caribbean__Joint_Declaration_on_a_Digital_Alliance.pdf" TargetMode="External" /></Relationships>
</file>

<file path=word/_rels/footnotes.xml.rels><?xml version="1.0" encoding="UTF-8"?><Relationships xmlns="http://schemas.openxmlformats.org/package/2006/relationships"><Relationship Type="http://schemas.openxmlformats.org/officeDocument/2006/relationships/hyperlink" Id="rId52" Target="EU-Latin_America_and_Caribbean__Joint_Declaration_on_a_Digital_Alliance.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2025-05-01T21:04:17Z</dcterms:created>
  <dcterms:modified xsi:type="dcterms:W3CDTF">2025-05-01T21:04:17Z</dcterms:modified>
</cp:coreProperties>
</file>

<file path=docProps/custom.xml><?xml version="1.0" encoding="utf-8"?>
<Properties xmlns="http://schemas.openxmlformats.org/officeDocument/2006/custom-properties" xmlns:vt="http://schemas.openxmlformats.org/officeDocument/2006/docPropsVTypes"/>
</file>