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arrative-summary"/>
    <w:p>
      <w:pPr>
        <w:pStyle w:val="Heading2"/>
      </w:pPr>
      <w:r>
        <w:t xml:space="preserve">Narrative Summary</w:t>
      </w:r>
    </w:p>
    <w:p>
      <w:pPr>
        <w:pStyle w:val="FirstParagraph"/>
      </w:pPr>
      <w:r>
        <w:t xml:space="preserve">In her report titled</w:t>
      </w:r>
      <w:r>
        <w:t xml:space="preserve"> </w:t>
      </w:r>
      <w:r>
        <w:t xml:space="preserve">“Fueling Digital Trade in Mercosur: A Regulatory Roadmap,”</w:t>
      </w:r>
      <w:r>
        <w:t xml:space="preserve"> </w:t>
      </w:r>
      <w:r>
        <w:t xml:space="preserve">Kati Suominen outlines the significant potential for enhancing digital trade within the Southern Cone of South America, focusing on the Mercosur countries: Argentina, Brazil, Paraguay, and Uruguay. Over the past decade, these nations have emerged as leaders in the digital economy, with Brazil accounting for 60% of the region’s e-commerce sales. The rapid growth of online sales has facilitated a shift from traditional commodities to more technology-driven economic activities.</w:t>
      </w:r>
    </w:p>
    <w:p>
      <w:pPr>
        <w:pStyle w:val="BodyText"/>
      </w:pPr>
      <w:r>
        <w:t xml:space="preserve">Despite these advancements, the report stresses that most digital transactions remain confined to domestic markets, indicating that regional integration is still needed to unlock the full potential of cross-border digital trade. The regulation and legal frameworks governing e-commerce in Mercosur are fragmented, with each member state taking different approaches toward critical issues such as data privacy, user liability for online content, and taxation of online sales. This inconsistency poses challenges for businesses that seek to operate across regional borders, hindering their ability to scale and compete effectively.</w:t>
      </w:r>
    </w:p>
    <w:p>
      <w:pPr>
        <w:pStyle w:val="BodyText"/>
      </w:pPr>
      <w:r>
        <w:t xml:space="preserve">The core aim of Suominen’s report is to provide a regulatory roadmap that guides policymakers and business leaders in creating a more coherent framework for digital trade in Mercosur. This roadmap is vital to foster the growth of small and medium-sized enterprises (SMEs), which are particularly positioned to benefit from expanding their e-commerce capabilities both domestically and internationally. The report draws on qualitative data collected from interviews and surveys with firms across the region, highlighting the structures and policies that could best support SMEs as they navigate the e-commerce landscape.</w:t>
      </w:r>
    </w:p>
    <w:p>
      <w:pPr>
        <w:pStyle w:val="BodyText"/>
      </w:pPr>
      <w:r>
        <w:t xml:space="preserve">The report outlines several key findings:</w:t>
      </w:r>
      <w:r>
        <w:t xml:space="preserve"> </w:t>
      </w:r>
      <w:r>
        <w:t xml:space="preserve">1. The internet is crucial for the growth and productivity of Mercosur businesses. Almost all companies utilize email for client interactions, with a substantial number having their own websites. The ability to access the internet is perceived as vital for productivity, with many businesses acknowledging a significant potential loss if access were restricted.</w:t>
      </w:r>
    </w:p>
    <w:p>
      <w:pPr>
        <w:numPr>
          <w:ilvl w:val="0"/>
          <w:numId w:val="1001"/>
        </w:numPr>
      </w:pPr>
      <w:r>
        <w:t xml:space="preserve">Firms engaged in e-commerce are significantly more likely to export goods and services. Statistics reveal that a higher percentage of online sellers export compared to those who rely solely on traditional sales methods. These online businesses tend to have a more diversified export market compared to their offline counterparts.</w:t>
      </w:r>
    </w:p>
    <w:p>
      <w:pPr>
        <w:numPr>
          <w:ilvl w:val="0"/>
          <w:numId w:val="1001"/>
        </w:numPr>
      </w:pPr>
      <w:r>
        <w:t xml:space="preserve">Cross-border trade within the Mercosur region has the potential for growth, but existing regulatory barriers, such as logistics and customs procedures, remain significant hurdles for SMEs trying to expand their online operations. Additionally, businesses express concerns about intellectual property protections and the complexities of local regulations regarding data privacy and online transactions.</w:t>
      </w:r>
    </w:p>
    <w:p>
      <w:pPr>
        <w:numPr>
          <w:ilvl w:val="0"/>
          <w:numId w:val="1001"/>
        </w:numPr>
      </w:pPr>
      <w:r>
        <w:t xml:space="preserve">The report stresses that removing regulatory impediments could lead to substantial growth in revenues and exports for Mercosur companies. If key regulatory obstacles were addressed, firms estimate potential revenue gains of around 34% domestically and 35% internationally.</w:t>
      </w:r>
    </w:p>
    <w:p>
      <w:pPr>
        <w:pStyle w:val="FirstParagraph"/>
      </w:pPr>
      <w:r>
        <w:t xml:space="preserve">To address these challenges, Suominen provides several recommendations aimed at enhancing the regulatory landscape for e-commerce in the region:</w:t>
      </w:r>
    </w:p>
    <w:p>
      <w:pPr>
        <w:numPr>
          <w:ilvl w:val="0"/>
          <w:numId w:val="1002"/>
        </w:numPr>
      </w:pPr>
      <w:r>
        <w:rPr>
          <w:b/>
          <w:bCs/>
        </w:rPr>
        <w:t xml:space="preserve">Create smart digital regulations</w:t>
      </w:r>
      <w:r>
        <w:t xml:space="preserve"> </w:t>
      </w:r>
      <w:r>
        <w:t xml:space="preserve">that are adaptable and focus on facilitating digital commerce while ensuring consumer protection and data privacy. This includes designing liability frameworks that protect businesses from being held responsible for user-generated content.</w:t>
      </w:r>
    </w:p>
    <w:p>
      <w:pPr>
        <w:numPr>
          <w:ilvl w:val="0"/>
          <w:numId w:val="1002"/>
        </w:numPr>
      </w:pPr>
      <w:r>
        <w:rPr>
          <w:b/>
          <w:bCs/>
        </w:rPr>
        <w:t xml:space="preserve">Promote mutual recognition of online service providers</w:t>
      </w:r>
      <w:r>
        <w:t xml:space="preserve"> </w:t>
      </w:r>
      <w:r>
        <w:t xml:space="preserve">across Mercosur member countries to streamline business operations and lower the costs associated with compliance.</w:t>
      </w:r>
    </w:p>
    <w:p>
      <w:pPr>
        <w:numPr>
          <w:ilvl w:val="0"/>
          <w:numId w:val="1002"/>
        </w:numPr>
      </w:pPr>
      <w:r>
        <w:rPr>
          <w:b/>
          <w:bCs/>
        </w:rPr>
        <w:t xml:space="preserve">Modernize customs procedures</w:t>
      </w:r>
      <w:r>
        <w:t xml:space="preserve"> </w:t>
      </w:r>
      <w:r>
        <w:t xml:space="preserve">to facilitate cross-border trade, including simplifying processes and potentially using technology such as blockchain to enhance transparency and security.</w:t>
      </w:r>
    </w:p>
    <w:p>
      <w:pPr>
        <w:numPr>
          <w:ilvl w:val="0"/>
          <w:numId w:val="1002"/>
        </w:numPr>
      </w:pPr>
      <w:r>
        <w:rPr>
          <w:b/>
          <w:bCs/>
        </w:rPr>
        <w:t xml:space="preserve">Establish new funding instruments</w:t>
      </w:r>
      <w:r>
        <w:t xml:space="preserve"> </w:t>
      </w:r>
      <w:r>
        <w:t xml:space="preserve">to support the development of digital skills among SMEs, which are critical for engaging effectively in e-commerce.</w:t>
      </w:r>
    </w:p>
    <w:p>
      <w:pPr>
        <w:numPr>
          <w:ilvl w:val="0"/>
          <w:numId w:val="1002"/>
        </w:numPr>
      </w:pPr>
      <w:r>
        <w:rPr>
          <w:b/>
          <w:bCs/>
        </w:rPr>
        <w:t xml:space="preserve">Initiate systematic regional dialogues</w:t>
      </w:r>
      <w:r>
        <w:t xml:space="preserve"> </w:t>
      </w:r>
      <w:r>
        <w:t xml:space="preserve">that bring together government officials and private sector stakeholders to foster communication and collaboratively address regulatory challenges affecting digital trade.</w:t>
      </w:r>
    </w:p>
    <w:p>
      <w:pPr>
        <w:pStyle w:val="FirstParagraph"/>
      </w:pPr>
      <w:r>
        <w:t xml:space="preserve">In conclusion, the report emphasizes the importance of regional cooperation and coherent regulatory frameworks for realizing the benefits of digital trade within Mercosur. By addressing existing barriers and fostering a more integrated market, the region can leverage its advancements in e-commerce to drive economic growth and enhance job creation. This proactive engagement by governments will be essential to harness the full potential of the digital economy, positioning Mercosur as a competitive player on the global stage.</w:t>
      </w:r>
    </w:p>
    <w:bookmarkEnd w:id="20"/>
    <w:bookmarkStart w:id="49" w:name="X132db2359fcf4ccdf761e63d28affd5a5bacc28"/>
    <w:p>
      <w:pPr>
        <w:pStyle w:val="Heading1"/>
      </w:pPr>
      <w:r>
        <w:t xml:space="preserve">“Unlocking Cross-Border E-Commerce in Mercosur: A Strategic Regulatory Framework”</w:t>
      </w:r>
    </w:p>
    <w:p>
      <w:pPr>
        <w:pStyle w:val="FirstParagraph"/>
      </w:pPr>
      <w:r>
        <w:rPr>
          <w:b/>
          <w:bCs/>
        </w:rPr>
        <w:t xml:space="preserve">Date:</w:t>
      </w:r>
      <w:r>
        <w:t xml:space="preserve"> </w:t>
      </w:r>
      <w:r>
        <w:t xml:space="preserve">The exact document date is not specified in the provided narrative.</w:t>
      </w:r>
      <w:r>
        <w:br/>
      </w:r>
      <w:r>
        <w:rPr>
          <w:b/>
          <w:bCs/>
        </w:rPr>
        <w:t xml:space="preserve">Locations:</w:t>
      </w:r>
      <w:r>
        <w:t xml:space="preserve"> </w:t>
      </w:r>
      <w:r>
        <w:t xml:space="preserve">T, h, e, , c, o, u, n, t, r, i, e, s, /, l, o, c, a, t, i, o, n, s, , i, n, v, o, l, v, e, d, , i, n, , t, h, e, , n, a, r, r, a, t, i, v, e, , a, r, e, :,</w:t>
      </w:r>
      <w:r>
        <w:t xml:space="preserve"> </w:t>
      </w:r>
      <w:r>
        <w:t xml:space="preserve">,</w:t>
      </w:r>
      <w:r>
        <w:t xml:space="preserve"> </w:t>
      </w:r>
      <w:r>
        <w:t xml:space="preserve">, 1, ., , A, r, g, e, n, t, i, n, a,</w:t>
      </w:r>
      <w:r>
        <w:t xml:space="preserve"> </w:t>
      </w:r>
      <w:r>
        <w:t xml:space="preserve">, 2, ., , B, r, a, z, i, l,</w:t>
      </w:r>
      <w:r>
        <w:t xml:space="preserve"> </w:t>
      </w:r>
      <w:r>
        <w:t xml:space="preserve">, 3, ., , P, a, r, a, g, u, a, y,</w:t>
      </w:r>
      <w:r>
        <w:t xml:space="preserve"> </w:t>
      </w:r>
      <w:r>
        <w:t xml:space="preserve">, 4, ., , U, r, u, g, u, a, y,</w:t>
      </w:r>
      <w:r>
        <w:t xml:space="preserve"> </w:t>
      </w:r>
      <w:r>
        <w:t xml:space="preserve">,</w:t>
      </w:r>
      <w:r>
        <w:t xml:space="preserve"> </w:t>
      </w:r>
      <w:r>
        <w:t xml:space="preserve">, (, N, o, t, e, :, , E, c, u, a, d, o, r, , a, n, d, , C, o, l, o, m, b, i, a, , a, r, e, , n, o, t, , m, e, n, t, i, o, n, e, d, , i, n, , t, h, e, , n, a, r, r, a, t, i, v, e, , r, e, g, a, r, d, i, n, g, , t, h, e, , M, e, r, c, o, s, u, r, , c, o, n, t, e, x, t, ., )</w:t>
      </w:r>
    </w:p>
    <w:bookmarkStart w:id="28" w:name="characteristics"/>
    <w:p>
      <w:pPr>
        <w:pStyle w:val="Heading2"/>
      </w:pPr>
      <w:r>
        <w:t xml:space="preserve">Characteristics</w:t>
      </w:r>
    </w:p>
    <w:p>
      <w:pPr>
        <w:pStyle w:val="FirstParagraph"/>
      </w:pPr>
      <w:r>
        <w:t xml:space="preserve">The report</w:t>
      </w:r>
      <w:r>
        <w:t xml:space="preserve"> </w:t>
      </w:r>
      <w:r>
        <w:t xml:space="preserve">“Fueling Digital Trade in Mercosur: A Regulatory Roadmap”</w:t>
      </w:r>
      <w:r>
        <w:t xml:space="preserve"> </w:t>
      </w:r>
      <w:r>
        <w:t xml:space="preserve">by Kati Suominen presents several key characteristics that define the landscape of digital trade within the Mercosur region. Below are the main characteristics outlined in the narrative:</w:t>
      </w:r>
    </w:p>
    <w:bookmarkStart w:id="21" w:name="digital-economy-growth-potential"/>
    <w:p>
      <w:pPr>
        <w:pStyle w:val="Heading3"/>
      </w:pPr>
      <w:r>
        <w:t xml:space="preserve">1.</w:t>
      </w:r>
      <w:r>
        <w:t xml:space="preserve"> </w:t>
      </w:r>
      <w:r>
        <w:rPr>
          <w:b/>
          <w:bCs/>
        </w:rPr>
        <w:t xml:space="preserve">Digital Economy Growth Potential</w:t>
      </w:r>
    </w:p>
    <w:p>
      <w:pPr>
        <w:pStyle w:val="Compact"/>
        <w:numPr>
          <w:ilvl w:val="0"/>
          <w:numId w:val="1003"/>
        </w:numPr>
      </w:pPr>
      <w:r>
        <w:rPr>
          <w:b/>
          <w:bCs/>
        </w:rPr>
        <w:t xml:space="preserve">Leadership in E-commerce</w:t>
      </w:r>
      <w:r>
        <w:t xml:space="preserve">: Mercosur countries, especially Brazil, have shown leadership in the digital economy, contributing significantly to e-commerce within the region. Brazil alone accounts for 60% of e-commerce sales in Mercosur.</w:t>
      </w:r>
    </w:p>
    <w:p>
      <w:pPr>
        <w:pStyle w:val="Compact"/>
        <w:numPr>
          <w:ilvl w:val="0"/>
          <w:numId w:val="1003"/>
        </w:numPr>
      </w:pPr>
      <w:r>
        <w:rPr>
          <w:b/>
          <w:bCs/>
        </w:rPr>
        <w:t xml:space="preserve">Transition from Traditional to Technology-Driven Activities</w:t>
      </w:r>
      <w:r>
        <w:t xml:space="preserve">: The growth of online sales indicates a broader shift in economic activities, moving from conventional commodities to technology-oriented business models.</w:t>
      </w:r>
    </w:p>
    <w:bookmarkEnd w:id="21"/>
    <w:bookmarkStart w:id="22" w:name="fragmented-regulatory-frameworks"/>
    <w:p>
      <w:pPr>
        <w:pStyle w:val="Heading3"/>
      </w:pPr>
      <w:r>
        <w:t xml:space="preserve">2.</w:t>
      </w:r>
      <w:r>
        <w:t xml:space="preserve"> </w:t>
      </w:r>
      <w:r>
        <w:rPr>
          <w:b/>
          <w:bCs/>
        </w:rPr>
        <w:t xml:space="preserve">Fragmented Regulatory Frameworks</w:t>
      </w:r>
    </w:p>
    <w:p>
      <w:pPr>
        <w:pStyle w:val="Compact"/>
        <w:numPr>
          <w:ilvl w:val="0"/>
          <w:numId w:val="1004"/>
        </w:numPr>
      </w:pPr>
      <w:r>
        <w:rPr>
          <w:b/>
          <w:bCs/>
        </w:rPr>
        <w:t xml:space="preserve">Diverse National Approaches</w:t>
      </w:r>
      <w:r>
        <w:t xml:space="preserve">: Each Mercosur member state has different regulatory approaches to critical e-commerce issues such as data privacy, taxation of online sales, and user liability for content, leading to inconsistencies across borders.</w:t>
      </w:r>
    </w:p>
    <w:p>
      <w:pPr>
        <w:pStyle w:val="Compact"/>
        <w:numPr>
          <w:ilvl w:val="0"/>
          <w:numId w:val="1004"/>
        </w:numPr>
      </w:pPr>
      <w:r>
        <w:rPr>
          <w:b/>
          <w:bCs/>
        </w:rPr>
        <w:t xml:space="preserve">Challenges for Cross-Border Operations</w:t>
      </w:r>
      <w:r>
        <w:t xml:space="preserve">: The current regulatory fragmentation complicates cross-border digital transactions, posing barriers for businesses that aim to scale regionally and compete effectively.</w:t>
      </w:r>
    </w:p>
    <w:bookmarkEnd w:id="22"/>
    <w:bookmarkStart w:id="23" w:name="e-commerce-and-export-dynamics"/>
    <w:p>
      <w:pPr>
        <w:pStyle w:val="Heading3"/>
      </w:pPr>
      <w:r>
        <w:t xml:space="preserve">3.</w:t>
      </w:r>
      <w:r>
        <w:t xml:space="preserve"> </w:t>
      </w:r>
      <w:r>
        <w:rPr>
          <w:b/>
          <w:bCs/>
        </w:rPr>
        <w:t xml:space="preserve">E-commerce and Export Dynamics</w:t>
      </w:r>
    </w:p>
    <w:p>
      <w:pPr>
        <w:pStyle w:val="Compact"/>
        <w:numPr>
          <w:ilvl w:val="0"/>
          <w:numId w:val="1005"/>
        </w:numPr>
      </w:pPr>
      <w:r>
        <w:rPr>
          <w:b/>
          <w:bCs/>
        </w:rPr>
        <w:t xml:space="preserve">Impact of E-commerce on Exports</w:t>
      </w:r>
      <w:r>
        <w:t xml:space="preserve">: Businesses engaged in e-commerce are shown to be more likely to export goods and services, with online sellers having a diversified export market compared to those using traditional sales methods.</w:t>
      </w:r>
    </w:p>
    <w:p>
      <w:pPr>
        <w:pStyle w:val="Compact"/>
        <w:numPr>
          <w:ilvl w:val="0"/>
          <w:numId w:val="1005"/>
        </w:numPr>
      </w:pPr>
      <w:r>
        <w:rPr>
          <w:b/>
          <w:bCs/>
        </w:rPr>
        <w:t xml:space="preserve">Increased Revenue Potential</w:t>
      </w:r>
      <w:r>
        <w:t xml:space="preserve">: Addressing regulatory impediments could lead to estimated revenue gains of approximately 34% domestically and 35% internationally for Mercosur firms, highlighting the economic opportunity that exists in enhancing digital trade.</w:t>
      </w:r>
    </w:p>
    <w:bookmarkEnd w:id="23"/>
    <w:bookmarkStart w:id="24" w:name="barriers-to-cross-border-trade"/>
    <w:p>
      <w:pPr>
        <w:pStyle w:val="Heading3"/>
      </w:pPr>
      <w:r>
        <w:t xml:space="preserve">4.</w:t>
      </w:r>
      <w:r>
        <w:t xml:space="preserve"> </w:t>
      </w:r>
      <w:r>
        <w:rPr>
          <w:b/>
          <w:bCs/>
        </w:rPr>
        <w:t xml:space="preserve">Barriers to Cross-Border Trade</w:t>
      </w:r>
    </w:p>
    <w:p>
      <w:pPr>
        <w:pStyle w:val="Compact"/>
        <w:numPr>
          <w:ilvl w:val="0"/>
          <w:numId w:val="1006"/>
        </w:numPr>
      </w:pPr>
      <w:r>
        <w:rPr>
          <w:b/>
          <w:bCs/>
        </w:rPr>
        <w:t xml:space="preserve">Logistical and Customs Challenges</w:t>
      </w:r>
      <w:r>
        <w:t xml:space="preserve">: Businesses face significant hurdles related to logistics, customs procedures, and concerns around intellectual property protections when attempting to engage in cross-border trade.</w:t>
      </w:r>
    </w:p>
    <w:p>
      <w:pPr>
        <w:pStyle w:val="Compact"/>
        <w:numPr>
          <w:ilvl w:val="0"/>
          <w:numId w:val="1006"/>
        </w:numPr>
      </w:pPr>
      <w:r>
        <w:rPr>
          <w:b/>
          <w:bCs/>
        </w:rPr>
        <w:t xml:space="preserve">Complex Local Regulations</w:t>
      </w:r>
      <w:r>
        <w:t xml:space="preserve">: Local regulations regarding data privacy and online transactions can complicate compliance and hinder e-commerce activities, particularly for SMEs.</w:t>
      </w:r>
    </w:p>
    <w:bookmarkEnd w:id="24"/>
    <w:bookmarkStart w:id="25" w:name="impact-of-internet-access"/>
    <w:p>
      <w:pPr>
        <w:pStyle w:val="Heading3"/>
      </w:pPr>
      <w:r>
        <w:t xml:space="preserve">5.</w:t>
      </w:r>
      <w:r>
        <w:t xml:space="preserve"> </w:t>
      </w:r>
      <w:r>
        <w:rPr>
          <w:b/>
          <w:bCs/>
        </w:rPr>
        <w:t xml:space="preserve">Impact of Internet Access</w:t>
      </w:r>
    </w:p>
    <w:p>
      <w:pPr>
        <w:pStyle w:val="Compact"/>
        <w:numPr>
          <w:ilvl w:val="0"/>
          <w:numId w:val="1007"/>
        </w:numPr>
      </w:pPr>
      <w:r>
        <w:rPr>
          <w:b/>
          <w:bCs/>
        </w:rPr>
        <w:t xml:space="preserve">Critical Resource for Productivity</w:t>
      </w:r>
      <w:r>
        <w:t xml:space="preserve">: Access to the internet is deemed vital for business productivity. Many firms rely heavily on email for client communications, and a lack of internet access is associated with potential productivity losses.</w:t>
      </w:r>
    </w:p>
    <w:p>
      <w:pPr>
        <w:pStyle w:val="Compact"/>
        <w:numPr>
          <w:ilvl w:val="0"/>
          <w:numId w:val="1007"/>
        </w:numPr>
      </w:pPr>
      <w:r>
        <w:rPr>
          <w:b/>
          <w:bCs/>
        </w:rPr>
        <w:t xml:space="preserve">Website Ownership</w:t>
      </w:r>
      <w:r>
        <w:t xml:space="preserve">: A substantial percentage of businesses have their own websites, underscoring the importance of online presence for conducting trade and engaging with customers.</w:t>
      </w:r>
    </w:p>
    <w:bookmarkEnd w:id="25"/>
    <w:bookmarkStart w:id="26" w:name="X161a9132970caa98d545739b27f3192e04cc9f2"/>
    <w:p>
      <w:pPr>
        <w:pStyle w:val="Heading3"/>
      </w:pPr>
      <w:r>
        <w:t xml:space="preserve">6.</w:t>
      </w:r>
      <w:r>
        <w:t xml:space="preserve"> </w:t>
      </w:r>
      <w:r>
        <w:rPr>
          <w:b/>
          <w:bCs/>
        </w:rPr>
        <w:t xml:space="preserve">Recommendations for Regulatory Improvement</w:t>
      </w:r>
    </w:p>
    <w:p>
      <w:pPr>
        <w:pStyle w:val="Compact"/>
        <w:numPr>
          <w:ilvl w:val="0"/>
          <w:numId w:val="1008"/>
        </w:numPr>
      </w:pPr>
      <w:r>
        <w:rPr>
          <w:b/>
          <w:bCs/>
        </w:rPr>
        <w:t xml:space="preserve">Smart Digital Regulations</w:t>
      </w:r>
      <w:r>
        <w:t xml:space="preserve">: The proposal for adaptable regulations that prioritize facilitating digital commerce while ensuring consumer protections is emphasized.</w:t>
      </w:r>
    </w:p>
    <w:p>
      <w:pPr>
        <w:pStyle w:val="Compact"/>
        <w:numPr>
          <w:ilvl w:val="0"/>
          <w:numId w:val="1008"/>
        </w:numPr>
      </w:pPr>
      <w:r>
        <w:rPr>
          <w:b/>
          <w:bCs/>
        </w:rPr>
        <w:t xml:space="preserve">Mutual Recognition of Online Services</w:t>
      </w:r>
      <w:r>
        <w:t xml:space="preserve">: The report advocates for fostering collaborative frameworks to allow for the mutual recognition of online service providers across member countries to streamline operations.</w:t>
      </w:r>
    </w:p>
    <w:p>
      <w:pPr>
        <w:pStyle w:val="Compact"/>
        <w:numPr>
          <w:ilvl w:val="0"/>
          <w:numId w:val="1008"/>
        </w:numPr>
      </w:pPr>
      <w:r>
        <w:rPr>
          <w:b/>
          <w:bCs/>
        </w:rPr>
        <w:t xml:space="preserve">Modernizing Customs Processes</w:t>
      </w:r>
      <w:r>
        <w:t xml:space="preserve">: A call for the modernization of customs procedures, potentially through technological innovations like blockchain, to simplify cross-border trade and enhance operational efficiency.</w:t>
      </w:r>
    </w:p>
    <w:p>
      <w:pPr>
        <w:pStyle w:val="Compact"/>
        <w:numPr>
          <w:ilvl w:val="0"/>
          <w:numId w:val="1008"/>
        </w:numPr>
      </w:pPr>
      <w:r>
        <w:rPr>
          <w:b/>
          <w:bCs/>
        </w:rPr>
        <w:t xml:space="preserve">Funding for Digital Skills Development</w:t>
      </w:r>
      <w:r>
        <w:t xml:space="preserve">: New financial instruments are suggested to help SMEs develop the necessary digital skills for effective e-commerce engagement.</w:t>
      </w:r>
    </w:p>
    <w:p>
      <w:pPr>
        <w:pStyle w:val="Compact"/>
        <w:numPr>
          <w:ilvl w:val="0"/>
          <w:numId w:val="1008"/>
        </w:numPr>
      </w:pPr>
      <w:r>
        <w:rPr>
          <w:b/>
          <w:bCs/>
        </w:rPr>
        <w:t xml:space="preserve">Regional Dialogues</w:t>
      </w:r>
      <w:r>
        <w:t xml:space="preserve">: The establishment of systematic dialogues between government and private sector stakeholders is recommended to address regulatory challenges collaboratively and constructively.</w:t>
      </w:r>
    </w:p>
    <w:bookmarkEnd w:id="26"/>
    <w:bookmarkStart w:id="27" w:name="regional-cooperation-and-integration"/>
    <w:p>
      <w:pPr>
        <w:pStyle w:val="Heading3"/>
      </w:pPr>
      <w:r>
        <w:t xml:space="preserve">7.</w:t>
      </w:r>
      <w:r>
        <w:t xml:space="preserve"> </w:t>
      </w:r>
      <w:r>
        <w:rPr>
          <w:b/>
          <w:bCs/>
        </w:rPr>
        <w:t xml:space="preserve">Regional Cooperation and Integration</w:t>
      </w:r>
    </w:p>
    <w:p>
      <w:pPr>
        <w:pStyle w:val="Compact"/>
        <w:numPr>
          <w:ilvl w:val="0"/>
          <w:numId w:val="1009"/>
        </w:numPr>
      </w:pPr>
      <w:r>
        <w:rPr>
          <w:b/>
          <w:bCs/>
        </w:rPr>
        <w:t xml:space="preserve">Importance of Integration</w:t>
      </w:r>
      <w:r>
        <w:t xml:space="preserve">: The report strongly highlights the need for regional cooperation and coherent frameworks to unlock the potential benefits of digital trade, emphasizing the role of integrated markets in fostering economic growth and job creation in the region.</w:t>
      </w:r>
    </w:p>
    <w:p>
      <w:pPr>
        <w:pStyle w:val="Compact"/>
        <w:numPr>
          <w:ilvl w:val="0"/>
          <w:numId w:val="1009"/>
        </w:numPr>
      </w:pPr>
      <w:r>
        <w:rPr>
          <w:b/>
          <w:bCs/>
        </w:rPr>
        <w:t xml:space="preserve">Positioning Mercosur in the Global Economy</w:t>
      </w:r>
      <w:r>
        <w:t xml:space="preserve">: By addressing existing barriers and working towards regulatory clarity, Mercosur can enhance its standing as a competitive player in the global digital economy.</w:t>
      </w:r>
    </w:p>
    <w:p>
      <w:pPr>
        <w:pStyle w:val="FirstParagraph"/>
      </w:pPr>
      <w:r>
        <w:t xml:space="preserve">In summary, Kati Suominen’s report delineates the substantial opportunities within Mercosur’s digital trade landscape while also recognizing the pressing challenges that need to be addressed through cohesive regulatory efforts and regional collaboration.</w:t>
      </w:r>
    </w:p>
    <w:bookmarkEnd w:id="27"/>
    <w:bookmarkEnd w:id="28"/>
    <w:bookmarkStart w:id="29" w:name="actors"/>
    <w:p>
      <w:pPr>
        <w:pStyle w:val="Heading2"/>
      </w:pPr>
      <w:r>
        <w:t xml:space="preserve">Actors</w:t>
      </w:r>
    </w:p>
    <w:p>
      <w:pPr>
        <w:pStyle w:val="FirstParagraph"/>
      </w:pPr>
      <w:r>
        <w:t xml:space="preserve">In the context of Kati Suominen’s report,</w:t>
      </w:r>
      <w:r>
        <w:t xml:space="preserve"> </w:t>
      </w:r>
      <w:r>
        <w:t xml:space="preserve">“Fueling Digital Trade in Mercosur: A Regulatory Roadmap,”</w:t>
      </w:r>
      <w:r>
        <w:t xml:space="preserve"> </w:t>
      </w:r>
      <w:r>
        <w:t xml:space="preserve">several key actors and stakeholders play critical roles in the landscape of digital trade in the Mercosur region. These actors may include:</w:t>
      </w:r>
    </w:p>
    <w:p>
      <w:pPr>
        <w:pStyle w:val="Compact"/>
        <w:numPr>
          <w:ilvl w:val="0"/>
          <w:numId w:val="1010"/>
        </w:numPr>
      </w:pPr>
      <w:r>
        <w:rPr>
          <w:b/>
          <w:bCs/>
        </w:rPr>
        <w:t xml:space="preserve">Policymakers and Government Officials</w:t>
      </w:r>
      <w:r>
        <w:t xml:space="preserve">:</w:t>
      </w:r>
    </w:p>
    <w:p>
      <w:pPr>
        <w:pStyle w:val="Compact"/>
        <w:numPr>
          <w:ilvl w:val="1"/>
          <w:numId w:val="1011"/>
        </w:numPr>
      </w:pPr>
      <w:r>
        <w:rPr>
          <w:b/>
          <w:bCs/>
        </w:rPr>
        <w:t xml:space="preserve">National Governments</w:t>
      </w:r>
      <w:r>
        <w:t xml:space="preserve">: Each Mercosur member country—Argentina, Brazil, Paraguay, and Uruguay—has its own set of government officials that shape the digital trade landscape through regulations and policies. These officials are responsible for crafting legislation that governs e-commerce, data privacy, taxation, and other crucial aspects of digital trade.</w:t>
      </w:r>
    </w:p>
    <w:p>
      <w:pPr>
        <w:pStyle w:val="Compact"/>
        <w:numPr>
          <w:ilvl w:val="1"/>
          <w:numId w:val="1011"/>
        </w:numPr>
      </w:pPr>
      <w:r>
        <w:rPr>
          <w:b/>
          <w:bCs/>
        </w:rPr>
        <w:t xml:space="preserve">Ministries of Commerce and Economy</w:t>
      </w:r>
      <w:r>
        <w:t xml:space="preserve">: These specific bodies within the governments are key players in formulating strategies for trade growth, addressing regulatory inconsistencies, and promoting digital economic initiatives.</w:t>
      </w:r>
    </w:p>
    <w:p>
      <w:pPr>
        <w:pStyle w:val="Compact"/>
        <w:numPr>
          <w:ilvl w:val="1"/>
          <w:numId w:val="1011"/>
        </w:numPr>
      </w:pPr>
      <w:r>
        <w:rPr>
          <w:b/>
          <w:bCs/>
        </w:rPr>
        <w:t xml:space="preserve">Trade Ambassadors and Negotiators</w:t>
      </w:r>
      <w:r>
        <w:t xml:space="preserve">: Individuals involved in international negotiations and agreements that seek to unify trade regulations across borders. Their efforts can significantly impact the facilitation of cross-border e-commerce.</w:t>
      </w:r>
    </w:p>
    <w:p>
      <w:pPr>
        <w:pStyle w:val="Compact"/>
        <w:numPr>
          <w:ilvl w:val="0"/>
          <w:numId w:val="1010"/>
        </w:numPr>
      </w:pPr>
      <w:r>
        <w:rPr>
          <w:b/>
          <w:bCs/>
        </w:rPr>
        <w:t xml:space="preserve">Business Leaders and Entrepreneurs</w:t>
      </w:r>
      <w:r>
        <w:t xml:space="preserve">:</w:t>
      </w:r>
    </w:p>
    <w:p>
      <w:pPr>
        <w:pStyle w:val="Compact"/>
        <w:numPr>
          <w:ilvl w:val="1"/>
          <w:numId w:val="1012"/>
        </w:numPr>
      </w:pPr>
      <w:r>
        <w:rPr>
          <w:b/>
          <w:bCs/>
        </w:rPr>
        <w:t xml:space="preserve">Small and Medium-Sized Enterprises (SMEs)</w:t>
      </w:r>
      <w:r>
        <w:t xml:space="preserve">: As highlighted in the report, SMEs are pivotal stakeholders since they stand to benefit the most from enhanced digital trade capabilities. Their leaders and innovators are crucial in navigating the e-commerce landscape and providing insights into the challenges faced at the ground level.</w:t>
      </w:r>
    </w:p>
    <w:p>
      <w:pPr>
        <w:pStyle w:val="Compact"/>
        <w:numPr>
          <w:ilvl w:val="1"/>
          <w:numId w:val="1012"/>
        </w:numPr>
      </w:pPr>
      <w:r>
        <w:rPr>
          <w:b/>
          <w:bCs/>
        </w:rPr>
        <w:t xml:space="preserve">Large Corporations</w:t>
      </w:r>
      <w:r>
        <w:t xml:space="preserve">: Industry leaders with significant resources and technological infrastructure, these corporations can influence market trends and regulatory frameworks through their lobbying efforts and contributions to the economy.</w:t>
      </w:r>
    </w:p>
    <w:p>
      <w:pPr>
        <w:pStyle w:val="Compact"/>
        <w:numPr>
          <w:ilvl w:val="0"/>
          <w:numId w:val="1010"/>
        </w:numPr>
      </w:pPr>
      <w:r>
        <w:rPr>
          <w:b/>
          <w:bCs/>
        </w:rPr>
        <w:t xml:space="preserve">E-commerce Platforms and Online Service Providers</w:t>
      </w:r>
      <w:r>
        <w:t xml:space="preserve">:</w:t>
      </w:r>
    </w:p>
    <w:p>
      <w:pPr>
        <w:pStyle w:val="Compact"/>
        <w:numPr>
          <w:ilvl w:val="1"/>
          <w:numId w:val="1013"/>
        </w:numPr>
      </w:pPr>
      <w:r>
        <w:rPr>
          <w:b/>
          <w:bCs/>
        </w:rPr>
        <w:t xml:space="preserve">Local and Regional E-commerce Platforms</w:t>
      </w:r>
      <w:r>
        <w:t xml:space="preserve">: Websites and apps that facilitate the buying and selling of goods and services online. These platforms must comply with varying regulations in each country, making them essential stakeholders in discussions around mutual recognition of services.</w:t>
      </w:r>
    </w:p>
    <w:p>
      <w:pPr>
        <w:pStyle w:val="Compact"/>
        <w:numPr>
          <w:ilvl w:val="1"/>
          <w:numId w:val="1013"/>
        </w:numPr>
      </w:pPr>
      <w:r>
        <w:rPr>
          <w:b/>
          <w:bCs/>
        </w:rPr>
        <w:t xml:space="preserve">Technology Providers</w:t>
      </w:r>
      <w:r>
        <w:t xml:space="preserve">: Companies offering technological solutions, such as payment processors and logistics software, that enable e-commerce transactions and streamline operations for businesses.</w:t>
      </w:r>
    </w:p>
    <w:p>
      <w:pPr>
        <w:pStyle w:val="Compact"/>
        <w:numPr>
          <w:ilvl w:val="0"/>
          <w:numId w:val="1010"/>
        </w:numPr>
      </w:pPr>
      <w:r>
        <w:rPr>
          <w:b/>
          <w:bCs/>
        </w:rPr>
        <w:t xml:space="preserve">Consumer Advocacy Groups</w:t>
      </w:r>
      <w:r>
        <w:t xml:space="preserve">:</w:t>
      </w:r>
    </w:p>
    <w:p>
      <w:pPr>
        <w:pStyle w:val="Compact"/>
        <w:numPr>
          <w:ilvl w:val="1"/>
          <w:numId w:val="1014"/>
        </w:numPr>
      </w:pPr>
      <w:r>
        <w:rPr>
          <w:b/>
          <w:bCs/>
        </w:rPr>
        <w:t xml:space="preserve">Consumer Rights Organizations</w:t>
      </w:r>
      <w:r>
        <w:t xml:space="preserve">: Non-profits and advocacy groups dedicated to protecting consumers’ interests in the digital sphere. They play a critical role in ensuring that any regulatory frameworks prioritize consumer protection, data privacy, and the ethical treatment of online shoppers.</w:t>
      </w:r>
    </w:p>
    <w:p>
      <w:pPr>
        <w:pStyle w:val="Compact"/>
        <w:numPr>
          <w:ilvl w:val="0"/>
          <w:numId w:val="1010"/>
        </w:numPr>
      </w:pPr>
      <w:r>
        <w:rPr>
          <w:b/>
          <w:bCs/>
        </w:rPr>
        <w:t xml:space="preserve">Academic and Research Institutions</w:t>
      </w:r>
      <w:r>
        <w:t xml:space="preserve">:</w:t>
      </w:r>
    </w:p>
    <w:p>
      <w:pPr>
        <w:pStyle w:val="Compact"/>
        <w:numPr>
          <w:ilvl w:val="1"/>
          <w:numId w:val="1015"/>
        </w:numPr>
      </w:pPr>
      <w:r>
        <w:rPr>
          <w:b/>
          <w:bCs/>
        </w:rPr>
        <w:t xml:space="preserve">Universities and Think Tanks</w:t>
      </w:r>
      <w:r>
        <w:t xml:space="preserve">: Scholars and researchers who evaluate the digital economy’s impact and suggest regulatory improvements can provide the evidence-based policy recommendations needed for effective digital trade growth.</w:t>
      </w:r>
    </w:p>
    <w:p>
      <w:pPr>
        <w:pStyle w:val="Compact"/>
        <w:numPr>
          <w:ilvl w:val="1"/>
          <w:numId w:val="1015"/>
        </w:numPr>
      </w:pPr>
      <w:r>
        <w:rPr>
          <w:b/>
          <w:bCs/>
        </w:rPr>
        <w:t xml:space="preserve">Industry Analysts</w:t>
      </w:r>
      <w:r>
        <w:t xml:space="preserve">: Professionals analyzing trends and providing insights into e-commerce operations, helping to inform both businesses and policymakers about emerging challenges and opportunities in the digital trade landscape.</w:t>
      </w:r>
    </w:p>
    <w:p>
      <w:pPr>
        <w:pStyle w:val="Compact"/>
        <w:numPr>
          <w:ilvl w:val="0"/>
          <w:numId w:val="1010"/>
        </w:numPr>
      </w:pPr>
      <w:r>
        <w:rPr>
          <w:b/>
          <w:bCs/>
        </w:rPr>
        <w:t xml:space="preserve">International Organizations</w:t>
      </w:r>
      <w:r>
        <w:t xml:space="preserve">:</w:t>
      </w:r>
    </w:p>
    <w:p>
      <w:pPr>
        <w:pStyle w:val="Compact"/>
        <w:numPr>
          <w:ilvl w:val="1"/>
          <w:numId w:val="1016"/>
        </w:numPr>
      </w:pPr>
      <w:r>
        <w:rPr>
          <w:b/>
          <w:bCs/>
        </w:rPr>
        <w:t xml:space="preserve">WTO (World Trade Organization)</w:t>
      </w:r>
      <w:r>
        <w:t xml:space="preserve">: As a significant player in global trade policy, the WTO can influence negotiations and agreements that affect digital trade at an international level, offering guidelines or frameworks that Mercosur countries might adopt.</w:t>
      </w:r>
    </w:p>
    <w:p>
      <w:pPr>
        <w:pStyle w:val="Compact"/>
        <w:numPr>
          <w:ilvl w:val="1"/>
          <w:numId w:val="1016"/>
        </w:numPr>
      </w:pPr>
      <w:r>
        <w:rPr>
          <w:b/>
          <w:bCs/>
        </w:rPr>
        <w:t xml:space="preserve">UNCTAD (United Nations Conference on Trade and Development)</w:t>
      </w:r>
      <w:r>
        <w:t xml:space="preserve">: This organization focuses on trade and development issues and may provide support for formulating policy recommendations to spur digital trade in developing regions.</w:t>
      </w:r>
    </w:p>
    <w:p>
      <w:pPr>
        <w:pStyle w:val="Compact"/>
        <w:numPr>
          <w:ilvl w:val="0"/>
          <w:numId w:val="1010"/>
        </w:numPr>
      </w:pPr>
      <w:r>
        <w:rPr>
          <w:b/>
          <w:bCs/>
        </w:rPr>
        <w:t xml:space="preserve">Investors and Financial Institutions</w:t>
      </w:r>
      <w:r>
        <w:t xml:space="preserve">:</w:t>
      </w:r>
    </w:p>
    <w:p>
      <w:pPr>
        <w:pStyle w:val="Compact"/>
        <w:numPr>
          <w:ilvl w:val="1"/>
          <w:numId w:val="1017"/>
        </w:numPr>
      </w:pPr>
      <w:r>
        <w:rPr>
          <w:b/>
          <w:bCs/>
        </w:rPr>
        <w:t xml:space="preserve">Venture Capitalists and Angel Investors</w:t>
      </w:r>
      <w:r>
        <w:t xml:space="preserve">: Individuals and firms that provide funding to startups and SMEs can influence the growth of the digital economy by investing in innovative e-commerce solutions and digital platforms.</w:t>
      </w:r>
    </w:p>
    <w:p>
      <w:pPr>
        <w:pStyle w:val="Compact"/>
        <w:numPr>
          <w:ilvl w:val="1"/>
          <w:numId w:val="1017"/>
        </w:numPr>
      </w:pPr>
      <w:r>
        <w:rPr>
          <w:b/>
          <w:bCs/>
        </w:rPr>
        <w:t xml:space="preserve">Banks and Financial Services</w:t>
      </w:r>
      <w:r>
        <w:t xml:space="preserve">: Institutions that provide financing, payment solutions, and financial technology services that facilitate online commerce and support businesses in scaling their operations.</w:t>
      </w:r>
    </w:p>
    <w:p>
      <w:pPr>
        <w:pStyle w:val="Compact"/>
        <w:numPr>
          <w:ilvl w:val="0"/>
          <w:numId w:val="1010"/>
        </w:numPr>
      </w:pPr>
      <w:r>
        <w:rPr>
          <w:b/>
          <w:bCs/>
        </w:rPr>
        <w:t xml:space="preserve">Logistics and Supply Chain Companies</w:t>
      </w:r>
      <w:r>
        <w:t xml:space="preserve">:</w:t>
      </w:r>
    </w:p>
    <w:p>
      <w:pPr>
        <w:pStyle w:val="Compact"/>
        <w:numPr>
          <w:ilvl w:val="1"/>
          <w:numId w:val="1018"/>
        </w:numPr>
      </w:pPr>
      <w:r>
        <w:rPr>
          <w:b/>
          <w:bCs/>
        </w:rPr>
        <w:t xml:space="preserve">Shipping and Delivery Services</w:t>
      </w:r>
      <w:r>
        <w:t xml:space="preserve">: Companies responsible for the transportation and delivery of goods purchased online. Their efficiency and ability to navigate customs regulations directly affect the feasibility of cross-border e-commerce.</w:t>
      </w:r>
    </w:p>
    <w:p>
      <w:pPr>
        <w:pStyle w:val="Compact"/>
        <w:numPr>
          <w:ilvl w:val="1"/>
          <w:numId w:val="1018"/>
        </w:numPr>
      </w:pPr>
      <w:r>
        <w:rPr>
          <w:b/>
          <w:bCs/>
        </w:rPr>
        <w:t xml:space="preserve">Warehousing Providers</w:t>
      </w:r>
      <w:r>
        <w:t xml:space="preserve">: Businesses that offer storage solutions for products sold online, playing a vital role in ensuring a seamless supply chain for e-commerce operations.</w:t>
      </w:r>
    </w:p>
    <w:p>
      <w:pPr>
        <w:pStyle w:val="Compact"/>
        <w:numPr>
          <w:ilvl w:val="0"/>
          <w:numId w:val="1010"/>
        </w:numPr>
      </w:pPr>
      <w:r>
        <w:rPr>
          <w:b/>
          <w:bCs/>
        </w:rPr>
        <w:t xml:space="preserve">Data Protection Authorities</w:t>
      </w:r>
      <w:r>
        <w:t xml:space="preserve">:</w:t>
      </w:r>
    </w:p>
    <w:p>
      <w:pPr>
        <w:pStyle w:val="Compact"/>
        <w:numPr>
          <w:ilvl w:val="1"/>
          <w:numId w:val="1019"/>
        </w:numPr>
      </w:pPr>
      <w:r>
        <w:rPr>
          <w:b/>
          <w:bCs/>
        </w:rPr>
        <w:t xml:space="preserve">Regulatory Bodies Focused on Privacy</w:t>
      </w:r>
      <w:r>
        <w:t xml:space="preserve">: Institutions tasked with overseeing compliance with data protection laws. Their role is crucial in shaping the regulatory landscape surrounding data privacy in e-commerce and ensuring consumer trust.</w:t>
      </w:r>
    </w:p>
    <w:p>
      <w:pPr>
        <w:pStyle w:val="Compact"/>
        <w:numPr>
          <w:ilvl w:val="0"/>
          <w:numId w:val="1010"/>
        </w:numPr>
      </w:pPr>
      <w:r>
        <w:rPr>
          <w:b/>
          <w:bCs/>
        </w:rPr>
        <w:t xml:space="preserve">Industry Associations</w:t>
      </w:r>
      <w:r>
        <w:t xml:space="preserve">:</w:t>
      </w:r>
    </w:p>
    <w:p>
      <w:pPr>
        <w:pStyle w:val="Compact"/>
        <w:numPr>
          <w:ilvl w:val="1"/>
          <w:numId w:val="1020"/>
        </w:numPr>
      </w:pPr>
      <w:r>
        <w:rPr>
          <w:b/>
          <w:bCs/>
        </w:rPr>
        <w:t xml:space="preserve">Chambers of Commerce</w:t>
      </w:r>
      <w:r>
        <w:t xml:space="preserve">: Regional and national business associations that represent the voice of the business community, advocate for favorable regulations, and facilitate networking among enterprises involved in digital trade.</w:t>
      </w:r>
    </w:p>
    <w:p>
      <w:pPr>
        <w:pStyle w:val="Compact"/>
        <w:numPr>
          <w:ilvl w:val="1"/>
          <w:numId w:val="1020"/>
        </w:numPr>
      </w:pPr>
      <w:r>
        <w:rPr>
          <w:b/>
          <w:bCs/>
        </w:rPr>
        <w:t xml:space="preserve">E-commerce Associations</w:t>
      </w:r>
      <w:r>
        <w:t xml:space="preserve">: Dedicated organizations that bring together businesses and professionals involved in online trade, providing resources, advocacy, and fostering collaboration in addressing common challenges.</w:t>
      </w:r>
    </w:p>
    <w:p>
      <w:pPr>
        <w:pStyle w:val="FirstParagraph"/>
      </w:pPr>
      <w:r>
        <w:t xml:space="preserve">These actors and stakeholders, collectively engaged in promoting and regulating digital trade, are essential to overcoming the existing challenges and leveraging the opportunities highlighted in Suominen’s report. Their collaborative efforts are necessary for creating a coherent regulatory framework that enhances e-commerce capabilities and drives economic growth across the Mercosur region.</w:t>
      </w:r>
    </w:p>
    <w:bookmarkEnd w:id="29"/>
    <w:bookmarkStart w:id="37" w:name="main-themes"/>
    <w:p>
      <w:pPr>
        <w:pStyle w:val="Heading2"/>
      </w:pPr>
      <w:r>
        <w:t xml:space="preserve">Main Themes</w:t>
      </w:r>
    </w:p>
    <w:p>
      <w:pPr>
        <w:pStyle w:val="FirstParagraph"/>
      </w:pPr>
      <w:r>
        <w:t xml:space="preserve">The report</w:t>
      </w:r>
      <w:r>
        <w:t xml:space="preserve"> </w:t>
      </w:r>
      <w:r>
        <w:t xml:space="preserve">“Fueling Digital Trade in Mercosur: A Regulatory Roadmap”</w:t>
      </w:r>
      <w:r>
        <w:t xml:space="preserve"> </w:t>
      </w:r>
      <w:r>
        <w:t xml:space="preserve">by Kati Suominen delves into several main themes surrounding the enhancement of digital trade within the Mercosur region, which includes Argentina, Brazil, Paraguay, and Uruguay. Below are the key themes highlighted in the report, each explained thoroughly:</w:t>
      </w:r>
    </w:p>
    <w:bookmarkStart w:id="30" w:name="Xf06f3adc80dbb14e73b969d114fc1846fc55e19"/>
    <w:p>
      <w:pPr>
        <w:pStyle w:val="Heading3"/>
      </w:pPr>
      <w:r>
        <w:t xml:space="preserve">1.</w:t>
      </w:r>
      <w:r>
        <w:t xml:space="preserve"> </w:t>
      </w:r>
      <w:r>
        <w:rPr>
          <w:b/>
          <w:bCs/>
        </w:rPr>
        <w:t xml:space="preserve">Current State of Digital Trade in Mercosur</w:t>
      </w:r>
    </w:p>
    <w:p>
      <w:pPr>
        <w:pStyle w:val="FirstParagraph"/>
      </w:pPr>
      <w:r>
        <w:t xml:space="preserve">The report outlines the significant strides Mercosur countries have made in the digital economy, particularly in e-commerce. Brazil, as a regional leader, accounts for 60% of the e-commerce sales, indicating a burgeoning digital market. However, despite this growth, most digital transactions remain primarily domestic. This theme signifies the need for regional integration to enhance cross-border trade, suggesting that while progress has been made, there is a substantial untapped potential that could be galvanized through concerted regulatory efforts.</w:t>
      </w:r>
    </w:p>
    <w:bookmarkEnd w:id="30"/>
    <w:bookmarkStart w:id="31" w:name="fragmented-regulatory-frameworks-1"/>
    <w:p>
      <w:pPr>
        <w:pStyle w:val="Heading3"/>
      </w:pPr>
      <w:r>
        <w:t xml:space="preserve">2.</w:t>
      </w:r>
      <w:r>
        <w:t xml:space="preserve"> </w:t>
      </w:r>
      <w:r>
        <w:rPr>
          <w:b/>
          <w:bCs/>
        </w:rPr>
        <w:t xml:space="preserve">Fragmented Regulatory Frameworks</w:t>
      </w:r>
    </w:p>
    <w:p>
      <w:pPr>
        <w:pStyle w:val="FirstParagraph"/>
      </w:pPr>
      <w:r>
        <w:t xml:space="preserve">A critical theme discussed is the inconsistency and fragmentation of regulatory frameworks across Mercosur nations regarding digital trade. Each member country has adopted varying legal approaches to e-commerce issues such as data privacy, online content liability, and taxation of digital sales. This lack of uniformity creates challenges for businesses aiming to operate regionally, often leading to increased costs and operational hurdles, which can stymie their competitive edge and hinder broader market access.</w:t>
      </w:r>
    </w:p>
    <w:bookmarkEnd w:id="31"/>
    <w:bookmarkStart w:id="32" w:name="Xd8935534431840576cc6fb96e97cb5f5d38b90d"/>
    <w:p>
      <w:pPr>
        <w:pStyle w:val="Heading3"/>
      </w:pPr>
      <w:r>
        <w:t xml:space="preserve">3.</w:t>
      </w:r>
      <w:r>
        <w:t xml:space="preserve"> </w:t>
      </w:r>
      <w:r>
        <w:rPr>
          <w:b/>
          <w:bCs/>
        </w:rPr>
        <w:t xml:space="preserve">Impact on Small and Medium Enterprises (SMEs)</w:t>
      </w:r>
    </w:p>
    <w:p>
      <w:pPr>
        <w:pStyle w:val="FirstParagraph"/>
      </w:pPr>
      <w:r>
        <w:t xml:space="preserve">The report emphasizes the pivotal role of SMEs in the digital economy. It highlights the correlation between e-commerce engagement and export capabilities, noting that businesses that sell online tend to have a wider and more diversified export market. The findings suggest that SMEs are particularly well-positioned to take advantage of digital trade, and by providing them with the appropriate tools and regulatory support, they can significantly contribute to economic growth and job creation in the region.</w:t>
      </w:r>
    </w:p>
    <w:bookmarkEnd w:id="32"/>
    <w:bookmarkStart w:id="33" w:name="potential-for-economic-growth"/>
    <w:p>
      <w:pPr>
        <w:pStyle w:val="Heading3"/>
      </w:pPr>
      <w:r>
        <w:t xml:space="preserve">4.</w:t>
      </w:r>
      <w:r>
        <w:t xml:space="preserve"> </w:t>
      </w:r>
      <w:r>
        <w:rPr>
          <w:b/>
          <w:bCs/>
        </w:rPr>
        <w:t xml:space="preserve">Potential for Economic Growth</w:t>
      </w:r>
    </w:p>
    <w:p>
      <w:pPr>
        <w:pStyle w:val="FirstParagraph"/>
      </w:pPr>
      <w:r>
        <w:t xml:space="preserve">Suominen posits that addressing existing regulatory barriers could lead to substantial revenue and export increases for Mercosur companies. The report presents potential estimates, indicating that firms believe they could achieve revenue gains of around 34% domestically and 35% at an international level if key regulatory issues are resolved. This theme underscores the urgency of reform and the economic benefits that could be realized through a more cohesive and enabling regulatory environment.</w:t>
      </w:r>
    </w:p>
    <w:bookmarkEnd w:id="33"/>
    <w:bookmarkStart w:id="34" w:name="challenges-to-cross-border-trade"/>
    <w:p>
      <w:pPr>
        <w:pStyle w:val="Heading3"/>
      </w:pPr>
      <w:r>
        <w:t xml:space="preserve">5.</w:t>
      </w:r>
      <w:r>
        <w:t xml:space="preserve"> </w:t>
      </w:r>
      <w:r>
        <w:rPr>
          <w:b/>
          <w:bCs/>
        </w:rPr>
        <w:t xml:space="preserve">Challenges to Cross-Border Trade</w:t>
      </w:r>
    </w:p>
    <w:p>
      <w:pPr>
        <w:pStyle w:val="FirstParagraph"/>
      </w:pPr>
      <w:r>
        <w:t xml:space="preserve">Another key theme is the various challenges SMEs face in cross-border e-commerce, including logistical hurdles and complex customs procedures, which can deter businesses from expanding internationally. Concerns are also raised regarding intellectual property protections, data privacy regulations, and the general intricacies of navigating local laws. This indicates a robust need for streamlined processes and clearer regulations to facilitate easier entry and operation across borders.</w:t>
      </w:r>
    </w:p>
    <w:bookmarkEnd w:id="34"/>
    <w:bookmarkStart w:id="35" w:name="Xb7bc7236977ba4df7451a64febec1bf6d4b3095"/>
    <w:p>
      <w:pPr>
        <w:pStyle w:val="Heading3"/>
      </w:pPr>
      <w:r>
        <w:t xml:space="preserve">6.</w:t>
      </w:r>
      <w:r>
        <w:t xml:space="preserve"> </w:t>
      </w:r>
      <w:r>
        <w:rPr>
          <w:b/>
          <w:bCs/>
        </w:rPr>
        <w:t xml:space="preserve">Recommendations for Enhancing E-Commerce Regulations</w:t>
      </w:r>
    </w:p>
    <w:p>
      <w:pPr>
        <w:pStyle w:val="FirstParagraph"/>
      </w:pPr>
      <w:r>
        <w:t xml:space="preserve">Suominen provides a comprehensive list of recommendations aimed at improving the regulatory landscape for digital trade. These include:</w:t>
      </w:r>
      <w:r>
        <w:t xml:space="preserve"> </w:t>
      </w:r>
      <w:r>
        <w:t xml:space="preserve">-</w:t>
      </w:r>
      <w:r>
        <w:t xml:space="preserve"> </w:t>
      </w:r>
      <w:r>
        <w:rPr>
          <w:b/>
          <w:bCs/>
        </w:rPr>
        <w:t xml:space="preserve">Creating adaptable digital regulations</w:t>
      </w:r>
      <w:r>
        <w:t xml:space="preserve"> </w:t>
      </w:r>
      <w:r>
        <w:t xml:space="preserve">that facilitate commerce while protecting consumers.</w:t>
      </w:r>
      <w:r>
        <w:t xml:space="preserve"> </w:t>
      </w:r>
      <w:r>
        <w:t xml:space="preserve">-</w:t>
      </w:r>
      <w:r>
        <w:t xml:space="preserve"> </w:t>
      </w:r>
      <w:r>
        <w:rPr>
          <w:b/>
          <w:bCs/>
        </w:rPr>
        <w:t xml:space="preserve">Promoting mutual recognition</w:t>
      </w:r>
      <w:r>
        <w:t xml:space="preserve"> </w:t>
      </w:r>
      <w:r>
        <w:t xml:space="preserve">of online service providers across member states to reduce compliance costs.</w:t>
      </w:r>
      <w:r>
        <w:t xml:space="preserve"> </w:t>
      </w:r>
      <w:r>
        <w:t xml:space="preserve">-</w:t>
      </w:r>
      <w:r>
        <w:t xml:space="preserve"> </w:t>
      </w:r>
      <w:r>
        <w:rPr>
          <w:b/>
          <w:bCs/>
        </w:rPr>
        <w:t xml:space="preserve">Modernizing customs procedures</w:t>
      </w:r>
      <w:r>
        <w:t xml:space="preserve"> </w:t>
      </w:r>
      <w:r>
        <w:t xml:space="preserve">to enhance cross-border trade efficiency, potentially through the use of technology like blockchain.</w:t>
      </w:r>
      <w:r>
        <w:t xml:space="preserve"> </w:t>
      </w:r>
      <w:r>
        <w:t xml:space="preserve">-</w:t>
      </w:r>
      <w:r>
        <w:t xml:space="preserve"> </w:t>
      </w:r>
      <w:r>
        <w:rPr>
          <w:b/>
          <w:bCs/>
        </w:rPr>
        <w:t xml:space="preserve">Establishing funding programs</w:t>
      </w:r>
      <w:r>
        <w:t xml:space="preserve"> </w:t>
      </w:r>
      <w:r>
        <w:t xml:space="preserve">to develop digital skills among SMEs, allowing them to engage more effectively in e-commerce.</w:t>
      </w:r>
      <w:r>
        <w:t xml:space="preserve"> </w:t>
      </w:r>
      <w:r>
        <w:t xml:space="preserve">-</w:t>
      </w:r>
      <w:r>
        <w:t xml:space="preserve"> </w:t>
      </w:r>
      <w:r>
        <w:rPr>
          <w:b/>
          <w:bCs/>
        </w:rPr>
        <w:t xml:space="preserve">Initiating systematic regional dialogues</w:t>
      </w:r>
      <w:r>
        <w:t xml:space="preserve"> </w:t>
      </w:r>
      <w:r>
        <w:t xml:space="preserve">between government and the private sector to collaboratively address challenges.</w:t>
      </w:r>
    </w:p>
    <w:p>
      <w:pPr>
        <w:pStyle w:val="BodyText"/>
      </w:pPr>
      <w:r>
        <w:t xml:space="preserve">This theme highlights a proactive approach to creating a more favorable environment for digital trade, advocating for collaborative efforts between public and private sectors.</w:t>
      </w:r>
    </w:p>
    <w:bookmarkEnd w:id="35"/>
    <w:bookmarkStart w:id="36" w:name="regional-cooperation-and-integration-1"/>
    <w:p>
      <w:pPr>
        <w:pStyle w:val="Heading3"/>
      </w:pPr>
      <w:r>
        <w:t xml:space="preserve">7.</w:t>
      </w:r>
      <w:r>
        <w:t xml:space="preserve"> </w:t>
      </w:r>
      <w:r>
        <w:rPr>
          <w:b/>
          <w:bCs/>
        </w:rPr>
        <w:t xml:space="preserve">Regional Cooperation and Integration</w:t>
      </w:r>
    </w:p>
    <w:p>
      <w:pPr>
        <w:pStyle w:val="FirstParagraph"/>
      </w:pPr>
      <w:r>
        <w:t xml:space="preserve">The conclusion reiterates the necessity for regional cooperation and a unified regulatory framework to reap the benefits of digital trade. It posits that through addressing regulatory barriers and fostering an integrated market, Mercosur can leverage its advancements to drive economic growth and create jobs. This theme stresses the idea that a cooperative approach will not only empower SMEs but also position the region competitively on a global scale.</w:t>
      </w:r>
    </w:p>
    <w:p>
      <w:pPr>
        <w:pStyle w:val="BodyText"/>
      </w:pPr>
      <w:r>
        <w:t xml:space="preserve">In summary, Kati Suominen’s report presents a holistic view of the digital trade landscape in Mercosur, addressing the current state of e-commerce, the critical role of SMEs, the challenges posed by fragmented regulations, and the potential economic growth achievable through cohesive regulatory frameworks, while also providing actionable recommendations for moving forward.</w:t>
      </w:r>
    </w:p>
    <w:bookmarkEnd w:id="36"/>
    <w:bookmarkEnd w:id="37"/>
    <w:bookmarkStart w:id="46" w:name="practical-applications"/>
    <w:p>
      <w:pPr>
        <w:pStyle w:val="Heading2"/>
      </w:pPr>
      <w:r>
        <w:t xml:space="preserve">Practical Applications</w:t>
      </w:r>
    </w:p>
    <w:p>
      <w:pPr>
        <w:pStyle w:val="FirstParagraph"/>
      </w:pPr>
      <w:r>
        <w:t xml:space="preserve">Kati Suominen’s report</w:t>
      </w:r>
      <w:r>
        <w:t xml:space="preserve"> </w:t>
      </w:r>
      <w:r>
        <w:t xml:space="preserve">“Fueling Digital Trade in Mercosur: A Regulatory Roadmap”</w:t>
      </w:r>
      <w:r>
        <w:t xml:space="preserve"> </w:t>
      </w:r>
      <w:r>
        <w:t xml:space="preserve">offers various insights and recommendations that can lead to practical applications in enhancing digital trade within the Mercosur region. Below are several practical applications accompanied by examples to illustrate how these initiatives could take shape and create value for businesses and stakeholders.</w:t>
      </w:r>
    </w:p>
    <w:bookmarkStart w:id="38" w:name="smart-digital-regulations"/>
    <w:p>
      <w:pPr>
        <w:pStyle w:val="Heading3"/>
      </w:pPr>
      <w:r>
        <w:t xml:space="preserve">1. Smart Digital Regulations</w:t>
      </w:r>
    </w:p>
    <w:p>
      <w:pPr>
        <w:pStyle w:val="FirstParagraph"/>
      </w:pPr>
      <w:r>
        <w:rPr>
          <w:b/>
          <w:bCs/>
        </w:rPr>
        <w:t xml:space="preserve">Practical Application:</w:t>
      </w:r>
      <w:r>
        <w:t xml:space="preserve"> </w:t>
      </w:r>
      <w:r>
        <w:t xml:space="preserve">Develop adaptable digital regulations that protect both businesses and consumers. This could involve creating a unified legal framework governing data privacy across Mercosur states.</w:t>
      </w:r>
    </w:p>
    <w:p>
      <w:pPr>
        <w:pStyle w:val="BodyText"/>
      </w:pPr>
      <w:r>
        <w:rPr>
          <w:b/>
          <w:bCs/>
        </w:rPr>
        <w:t xml:space="preserve">Example:</w:t>
      </w:r>
      <w:r>
        <w:t xml:space="preserve"> </w:t>
      </w:r>
      <w:r>
        <w:t xml:space="preserve">If Brazil establishes a comprehensive data privacy law that is recognized and adopted by Argentina, Paraguay, and Uruguay, companies operating in multiple countries would have a clearer understanding of their obligations. For instance, a Brazilian tech startup that expands into Argentina could know that the same privacy protections apply, thus reducing compliance costs and legal uncertainty.</w:t>
      </w:r>
    </w:p>
    <w:bookmarkEnd w:id="38"/>
    <w:bookmarkStart w:id="39" w:name="Xade5b556e7f1520d3d5cdb39778db80d1a2550e"/>
    <w:p>
      <w:pPr>
        <w:pStyle w:val="Heading3"/>
      </w:pPr>
      <w:r>
        <w:t xml:space="preserve">2. Mutual Recognition of Online Service Providers</w:t>
      </w:r>
    </w:p>
    <w:p>
      <w:pPr>
        <w:pStyle w:val="FirstParagraph"/>
      </w:pPr>
      <w:r>
        <w:rPr>
          <w:b/>
          <w:bCs/>
        </w:rPr>
        <w:t xml:space="preserve">Practical Application:</w:t>
      </w:r>
      <w:r>
        <w:t xml:space="preserve"> </w:t>
      </w:r>
      <w:r>
        <w:t xml:space="preserve">Implement policies that allow online service providers certified in one Mercosur country to operate seamlessly in others.</w:t>
      </w:r>
    </w:p>
    <w:p>
      <w:pPr>
        <w:pStyle w:val="BodyText"/>
      </w:pPr>
      <w:r>
        <w:rPr>
          <w:b/>
          <w:bCs/>
        </w:rPr>
        <w:t xml:space="preserve">Example:</w:t>
      </w:r>
      <w:r>
        <w:t xml:space="preserve"> </w:t>
      </w:r>
      <w:r>
        <w:t xml:space="preserve">A Uruguayan e-commerce platform like</w:t>
      </w:r>
      <w:r>
        <w:t xml:space="preserve"> </w:t>
      </w:r>
      <w:r>
        <w:rPr>
          <w:b/>
          <w:bCs/>
        </w:rPr>
        <w:t xml:space="preserve">Gana$$o</w:t>
      </w:r>
      <w:r>
        <w:t xml:space="preserve"> </w:t>
      </w:r>
      <w:r>
        <w:t xml:space="preserve">could be recognized as compliant in Brazil without needing to undergo a different certification process. This mutual recognition would allow the company to expand its services more efficiently, reaching Brazilian consumers without facing additional regulatory hurdles.</w:t>
      </w:r>
    </w:p>
    <w:bookmarkEnd w:id="39"/>
    <w:bookmarkStart w:id="40" w:name="modernized-customs-procedures"/>
    <w:p>
      <w:pPr>
        <w:pStyle w:val="Heading3"/>
      </w:pPr>
      <w:r>
        <w:t xml:space="preserve">3. Modernized Customs Procedures</w:t>
      </w:r>
    </w:p>
    <w:p>
      <w:pPr>
        <w:pStyle w:val="FirstParagraph"/>
      </w:pPr>
      <w:r>
        <w:rPr>
          <w:b/>
          <w:bCs/>
        </w:rPr>
        <w:t xml:space="preserve">Practical Application:</w:t>
      </w:r>
      <w:r>
        <w:t xml:space="preserve"> </w:t>
      </w:r>
      <w:r>
        <w:t xml:space="preserve">Streamline customs procedures using technology, such as an online platform that centralizes customs documentation and procedures for cross-border e-commerce.</w:t>
      </w:r>
    </w:p>
    <w:p>
      <w:pPr>
        <w:pStyle w:val="BodyText"/>
      </w:pPr>
      <w:r>
        <w:rPr>
          <w:b/>
          <w:bCs/>
        </w:rPr>
        <w:t xml:space="preserve">Example:</w:t>
      </w:r>
      <w:r>
        <w:t xml:space="preserve"> </w:t>
      </w:r>
      <w:r>
        <w:t xml:space="preserve">If Mercosur developed a blockchain-based system for customs documentation, a Paraguayan SME exporting goods to Brazil could submit all necessary documentation electronically, tracking shipments in real time and reducing processing time from days to hours. This would encourage more SMEs to engage in cross-border trade.</w:t>
      </w:r>
    </w:p>
    <w:bookmarkEnd w:id="40"/>
    <w:bookmarkStart w:id="41" w:name="establishing-new-funding-instruments"/>
    <w:p>
      <w:pPr>
        <w:pStyle w:val="Heading3"/>
      </w:pPr>
      <w:r>
        <w:t xml:space="preserve">4. Establishing New Funding Instruments</w:t>
      </w:r>
    </w:p>
    <w:p>
      <w:pPr>
        <w:pStyle w:val="FirstParagraph"/>
      </w:pPr>
      <w:r>
        <w:rPr>
          <w:b/>
          <w:bCs/>
        </w:rPr>
        <w:t xml:space="preserve">Practical Application:</w:t>
      </w:r>
      <w:r>
        <w:t xml:space="preserve"> </w:t>
      </w:r>
      <w:r>
        <w:t xml:space="preserve">Create targeted funding programs or grants for SMEs to invest in digital tools and training for e-commerce.</w:t>
      </w:r>
    </w:p>
    <w:p>
      <w:pPr>
        <w:pStyle w:val="BodyText"/>
      </w:pPr>
      <w:r>
        <w:rPr>
          <w:b/>
          <w:bCs/>
        </w:rPr>
        <w:t xml:space="preserve">Example:</w:t>
      </w:r>
      <w:r>
        <w:t xml:space="preserve"> </w:t>
      </w:r>
      <w:r>
        <w:t xml:space="preserve">A digital skills training initiative funded by the Mercosur Development Bank could be launched, providing grants to small manufacturers in Argentina. This program would allow them to learn about online marketing, website optimization, and logistics management, better preparing them to sell their products online both domestically and internationally.</w:t>
      </w:r>
    </w:p>
    <w:bookmarkEnd w:id="41"/>
    <w:bookmarkStart w:id="42" w:name="systematic-regional-dialogues"/>
    <w:p>
      <w:pPr>
        <w:pStyle w:val="Heading3"/>
      </w:pPr>
      <w:r>
        <w:t xml:space="preserve">5. Systematic Regional Dialogues</w:t>
      </w:r>
    </w:p>
    <w:p>
      <w:pPr>
        <w:pStyle w:val="FirstParagraph"/>
      </w:pPr>
      <w:r>
        <w:rPr>
          <w:b/>
          <w:bCs/>
        </w:rPr>
        <w:t xml:space="preserve">Practical Application:</w:t>
      </w:r>
      <w:r>
        <w:t xml:space="preserve"> </w:t>
      </w:r>
      <w:r>
        <w:t xml:space="preserve">Organize regular forums or workshops where private sector players and government officials discuss regulatory challenges and share solutions.</w:t>
      </w:r>
    </w:p>
    <w:p>
      <w:pPr>
        <w:pStyle w:val="BodyText"/>
      </w:pPr>
      <w:r>
        <w:rPr>
          <w:b/>
          <w:bCs/>
        </w:rPr>
        <w:t xml:space="preserve">Example:</w:t>
      </w:r>
      <w:r>
        <w:t xml:space="preserve"> </w:t>
      </w:r>
      <w:r>
        <w:t xml:space="preserve">A Mercosur Trade Forum could be convened biannually, bringing together businesses, policy experts, and regulatory authorities from all member states. For instance, a panel discussing the impact of data localization laws might lead to collaborative efforts to create harmonized guidelines that enhance cross-border data flow, benefitting digital businesses across the region.</w:t>
      </w:r>
    </w:p>
    <w:bookmarkEnd w:id="42"/>
    <w:bookmarkStart w:id="43" w:name="collaboration-with-local-universities"/>
    <w:p>
      <w:pPr>
        <w:pStyle w:val="Heading3"/>
      </w:pPr>
      <w:r>
        <w:t xml:space="preserve">6. Collaboration with Local Universities</w:t>
      </w:r>
    </w:p>
    <w:p>
      <w:pPr>
        <w:pStyle w:val="FirstParagraph"/>
      </w:pPr>
      <w:r>
        <w:rPr>
          <w:b/>
          <w:bCs/>
        </w:rPr>
        <w:t xml:space="preserve">Practical Application:</w:t>
      </w:r>
      <w:r>
        <w:t xml:space="preserve"> </w:t>
      </w:r>
      <w:r>
        <w:t xml:space="preserve">Partner with educational institutions to develop curricula that advance digital skills tailored to local markets and industries.</w:t>
      </w:r>
    </w:p>
    <w:p>
      <w:pPr>
        <w:pStyle w:val="BodyText"/>
      </w:pPr>
      <w:r>
        <w:rPr>
          <w:b/>
          <w:bCs/>
        </w:rPr>
        <w:t xml:space="preserve">Example:</w:t>
      </w:r>
      <w:r>
        <w:t xml:space="preserve"> </w:t>
      </w:r>
      <w:r>
        <w:t xml:space="preserve">A collaboration between Brazilian and Paraguayan universities could create a joint program focusing on digital marketing and e-commerce logistics. Students would gain hands-on training, helping local businesses by providing internship opportunities for actual SMEs looking to boost their online presence.</w:t>
      </w:r>
    </w:p>
    <w:bookmarkEnd w:id="43"/>
    <w:bookmarkStart w:id="44" w:name="e-commerce-platforms-tailored-for-smes"/>
    <w:p>
      <w:pPr>
        <w:pStyle w:val="Heading3"/>
      </w:pPr>
      <w:r>
        <w:t xml:space="preserve">7. E-commerce Platforms Tailored for SMEs</w:t>
      </w:r>
    </w:p>
    <w:p>
      <w:pPr>
        <w:pStyle w:val="FirstParagraph"/>
      </w:pPr>
      <w:r>
        <w:rPr>
          <w:b/>
          <w:bCs/>
        </w:rPr>
        <w:t xml:space="preserve">Practical Application:</w:t>
      </w:r>
      <w:r>
        <w:t xml:space="preserve"> </w:t>
      </w:r>
      <w:r>
        <w:t xml:space="preserve">Develop or support the creation of e-commerce platforms specifically designed for SMEs to facilitate easier entry into online markets.</w:t>
      </w:r>
    </w:p>
    <w:p>
      <w:pPr>
        <w:pStyle w:val="BodyText"/>
      </w:pPr>
      <w:r>
        <w:rPr>
          <w:b/>
          <w:bCs/>
        </w:rPr>
        <w:t xml:space="preserve">Example:</w:t>
      </w:r>
      <w:r>
        <w:t xml:space="preserve"> </w:t>
      </w:r>
      <w:r>
        <w:t xml:space="preserve">An e-commerce platform tailored for Paraguayan artisans, similar to Etsy, could be supported through governmental initiatives to ensure access to regional markets while facilitating local logistics partnerships, helping these SMEs reach a broader consumer base and grow their exports.</w:t>
      </w:r>
    </w:p>
    <w:bookmarkEnd w:id="44"/>
    <w:bookmarkStart w:id="45" w:name="conclusion"/>
    <w:p>
      <w:pPr>
        <w:pStyle w:val="Heading3"/>
      </w:pPr>
      <w:r>
        <w:t xml:space="preserve">Conclusion</w:t>
      </w:r>
    </w:p>
    <w:p>
      <w:pPr>
        <w:pStyle w:val="FirstParagraph"/>
      </w:pPr>
      <w:r>
        <w:t xml:space="preserve">Implementation of these practical applications would not only enhance digital trade within the Mercosur region but also empower SMEs by providing them with the necessary tools, knowledge, and frameworks to thrive in a digital economy. By drawing on the insights provided in Suominen’s report, the region can harness its digital potential to foster economic growth, competitiveness, and job creation.</w:t>
      </w:r>
    </w:p>
    <w:bookmarkEnd w:id="45"/>
    <w:bookmarkEnd w:id="46"/>
    <w:bookmarkStart w:id="48" w:name="resulting-commitments"/>
    <w:p>
      <w:pPr>
        <w:pStyle w:val="Heading2"/>
      </w:pPr>
      <w:r>
        <w:t xml:space="preserve">Resulting Commitments</w:t>
      </w:r>
    </w:p>
    <w:p>
      <w:pPr>
        <w:pStyle w:val="FirstParagraph"/>
      </w:pPr>
      <w:r>
        <w:t xml:space="preserve">Based on Kati Suominen’s report titled</w:t>
      </w:r>
      <w:r>
        <w:t xml:space="preserve"> </w:t>
      </w:r>
      <w:r>
        <w:t xml:space="preserve">“Fueling Digital Trade in Mercosur: A Regulatory Roadmap,”</w:t>
      </w:r>
      <w:r>
        <w:t xml:space="preserve"> </w:t>
      </w:r>
      <w:r>
        <w:t xml:space="preserve">several resulting commitments can be derived to improve the digital trade landscape within the Mercosur region. These commitments are aimed at fostering integration, enhancing regulatory coherence, and facilitating growth for SMEs in the digital economy. Here’s a list and explanation of these commitments:</w:t>
      </w:r>
    </w:p>
    <w:p>
      <w:pPr>
        <w:pStyle w:val="Compact"/>
        <w:numPr>
          <w:ilvl w:val="0"/>
          <w:numId w:val="1021"/>
        </w:numPr>
      </w:pPr>
      <w:r>
        <w:rPr>
          <w:b/>
          <w:bCs/>
        </w:rPr>
        <w:t xml:space="preserve">Commitment to Develop and Implement Smart Digital Regulations</w:t>
      </w:r>
      <w:r>
        <w:t xml:space="preserve">:</w:t>
      </w:r>
    </w:p>
    <w:p>
      <w:pPr>
        <w:pStyle w:val="Compact"/>
        <w:numPr>
          <w:ilvl w:val="1"/>
          <w:numId w:val="1022"/>
        </w:numPr>
      </w:pPr>
      <w:r>
        <w:rPr>
          <w:b/>
          <w:bCs/>
        </w:rPr>
        <w:t xml:space="preserve">Explanation</w:t>
      </w:r>
      <w:r>
        <w:t xml:space="preserve">: Mercosur countries should establish regulations that adapt to the rapidly evolving digital landscape. These regulations must focus on facilitating digital commerce while ensuring consumer protection and data privacy. The rules should balance innovation and market growth with the need for consumer safety, establishing a legal framework that delineates clear liability for user-generated content.</w:t>
      </w:r>
    </w:p>
    <w:p>
      <w:pPr>
        <w:pStyle w:val="Compact"/>
        <w:numPr>
          <w:ilvl w:val="0"/>
          <w:numId w:val="1021"/>
        </w:numPr>
      </w:pPr>
      <w:r>
        <w:rPr>
          <w:b/>
          <w:bCs/>
        </w:rPr>
        <w:t xml:space="preserve">Commitment to Promote Mutual Recognition of Online Service Providers</w:t>
      </w:r>
      <w:r>
        <w:t xml:space="preserve">:</w:t>
      </w:r>
    </w:p>
    <w:p>
      <w:pPr>
        <w:pStyle w:val="Compact"/>
        <w:numPr>
          <w:ilvl w:val="1"/>
          <w:numId w:val="1023"/>
        </w:numPr>
      </w:pPr>
      <w:r>
        <w:rPr>
          <w:b/>
          <w:bCs/>
        </w:rPr>
        <w:t xml:space="preserve">Explanation</w:t>
      </w:r>
      <w:r>
        <w:t xml:space="preserve">: Member states need to recognize each other’s service providers to streamline operations and reduce compliance costs. This commitment involves harmonizing standards and exchanging information to allow companies operating in one country to access markets in other Mercosur states without duplicating efforts regarding licensing and legal compliance.</w:t>
      </w:r>
    </w:p>
    <w:p>
      <w:pPr>
        <w:pStyle w:val="Compact"/>
        <w:numPr>
          <w:ilvl w:val="0"/>
          <w:numId w:val="1021"/>
        </w:numPr>
      </w:pPr>
      <w:r>
        <w:rPr>
          <w:b/>
          <w:bCs/>
        </w:rPr>
        <w:t xml:space="preserve">Commitment to Modernize Customs Procedures</w:t>
      </w:r>
      <w:r>
        <w:t xml:space="preserve">:</w:t>
      </w:r>
    </w:p>
    <w:p>
      <w:pPr>
        <w:pStyle w:val="Compact"/>
        <w:numPr>
          <w:ilvl w:val="1"/>
          <w:numId w:val="1024"/>
        </w:numPr>
      </w:pPr>
      <w:r>
        <w:rPr>
          <w:b/>
          <w:bCs/>
        </w:rPr>
        <w:t xml:space="preserve">Explanation</w:t>
      </w:r>
      <w:r>
        <w:t xml:space="preserve">: This involves revising and simplifying customs frameworks to facilitate easier cross-border trade for online sellers. By modernizing these procedures, including potentially implementing technology solutions like blockchain, Mercosur can increase the efficiency of logistics and enhance transparency in trade, which is vital for SMEs.</w:t>
      </w:r>
    </w:p>
    <w:p>
      <w:pPr>
        <w:pStyle w:val="Compact"/>
        <w:numPr>
          <w:ilvl w:val="0"/>
          <w:numId w:val="1021"/>
        </w:numPr>
      </w:pPr>
      <w:r>
        <w:rPr>
          <w:b/>
          <w:bCs/>
        </w:rPr>
        <w:t xml:space="preserve">Commitment to Establish New Funding Instruments</w:t>
      </w:r>
      <w:r>
        <w:t xml:space="preserve">:</w:t>
      </w:r>
    </w:p>
    <w:p>
      <w:pPr>
        <w:pStyle w:val="Compact"/>
        <w:numPr>
          <w:ilvl w:val="1"/>
          <w:numId w:val="1025"/>
        </w:numPr>
      </w:pPr>
      <w:r>
        <w:rPr>
          <w:b/>
          <w:bCs/>
        </w:rPr>
        <w:t xml:space="preserve">Explanation</w:t>
      </w:r>
      <w:r>
        <w:t xml:space="preserve">: Governments should create funding mechanisms to support SMEs in developing their digital capabilities. This commitment entails establishing grants, subsidies, or public-private partnerships aimed at training and upskilling the workforce in digital tools and e-commerce strategies, ultimately enabling SMEs to compete in global markets.</w:t>
      </w:r>
    </w:p>
    <w:p>
      <w:pPr>
        <w:pStyle w:val="Compact"/>
        <w:numPr>
          <w:ilvl w:val="0"/>
          <w:numId w:val="1021"/>
        </w:numPr>
      </w:pPr>
      <w:r>
        <w:rPr>
          <w:b/>
          <w:bCs/>
        </w:rPr>
        <w:t xml:space="preserve">Commitment to Initiate Systematic Regional Dialogues</w:t>
      </w:r>
      <w:r>
        <w:t xml:space="preserve">:</w:t>
      </w:r>
    </w:p>
    <w:p>
      <w:pPr>
        <w:pStyle w:val="Compact"/>
        <w:numPr>
          <w:ilvl w:val="1"/>
          <w:numId w:val="1026"/>
        </w:numPr>
      </w:pPr>
      <w:r>
        <w:rPr>
          <w:b/>
          <w:bCs/>
        </w:rPr>
        <w:t xml:space="preserve">Explanation</w:t>
      </w:r>
      <w:r>
        <w:t xml:space="preserve">: Establishing regular dialogues between public sector entities and private stakeholders is essential for addressing ongoing regulatory challenges in digital trade. This commitment emphasizes the need for collaborative efforts to share best practices, resolve disputes, and jointly develop conducive policies that encourage cross-border e-commerce.</w:t>
      </w:r>
    </w:p>
    <w:p>
      <w:pPr>
        <w:pStyle w:val="Compact"/>
        <w:numPr>
          <w:ilvl w:val="0"/>
          <w:numId w:val="1021"/>
        </w:numPr>
      </w:pPr>
      <w:r>
        <w:rPr>
          <w:b/>
          <w:bCs/>
        </w:rPr>
        <w:t xml:space="preserve">Commitment to Support Intellectual Property Protections</w:t>
      </w:r>
      <w:r>
        <w:t xml:space="preserve">:</w:t>
      </w:r>
    </w:p>
    <w:p>
      <w:pPr>
        <w:pStyle w:val="Compact"/>
        <w:numPr>
          <w:ilvl w:val="1"/>
          <w:numId w:val="1027"/>
        </w:numPr>
      </w:pPr>
      <w:r>
        <w:rPr>
          <w:b/>
          <w:bCs/>
        </w:rPr>
        <w:t xml:space="preserve">Explanation</w:t>
      </w:r>
      <w:r>
        <w:t xml:space="preserve">: Strengthening intellectual property laws and protections will boost confidence among businesses engaging in e-commerce. Member states should collectively work towards ensuring adequate safeguards for businesses’ innovations and digital content creation, which can enhance trust and promote more firms to venture into online marketplaces.</w:t>
      </w:r>
    </w:p>
    <w:p>
      <w:pPr>
        <w:pStyle w:val="Compact"/>
        <w:numPr>
          <w:ilvl w:val="0"/>
          <w:numId w:val="1021"/>
        </w:numPr>
      </w:pPr>
      <w:r>
        <w:rPr>
          <w:b/>
          <w:bCs/>
        </w:rPr>
        <w:t xml:space="preserve">Commitment to Facilitate Access to Affordable Internet</w:t>
      </w:r>
      <w:r>
        <w:t xml:space="preserve">:</w:t>
      </w:r>
    </w:p>
    <w:p>
      <w:pPr>
        <w:pStyle w:val="Compact"/>
        <w:numPr>
          <w:ilvl w:val="1"/>
          <w:numId w:val="1028"/>
        </w:numPr>
      </w:pPr>
      <w:r>
        <w:rPr>
          <w:b/>
          <w:bCs/>
        </w:rPr>
        <w:t xml:space="preserve">Explanation</w:t>
      </w:r>
      <w:r>
        <w:t xml:space="preserve">: Recognizing that internet access is crucial for productivity and growth, there should be a collective effort to ensure all businesses, especially SMEs in rural or underserved areas, can access affordable and reliable internet services. This commitment could include investing in infrastructure or subsidizing costs to encourage more firms to adopt digital practices.</w:t>
      </w:r>
    </w:p>
    <w:p>
      <w:pPr>
        <w:pStyle w:val="Compact"/>
        <w:numPr>
          <w:ilvl w:val="0"/>
          <w:numId w:val="1021"/>
        </w:numPr>
      </w:pPr>
      <w:r>
        <w:rPr>
          <w:b/>
          <w:bCs/>
        </w:rPr>
        <w:t xml:space="preserve">Commitment to Monitor and Benchmark Progress</w:t>
      </w:r>
      <w:r>
        <w:t xml:space="preserve">:</w:t>
      </w:r>
    </w:p>
    <w:p>
      <w:pPr>
        <w:pStyle w:val="Compact"/>
        <w:numPr>
          <w:ilvl w:val="1"/>
          <w:numId w:val="1029"/>
        </w:numPr>
      </w:pPr>
      <w:r>
        <w:rPr>
          <w:b/>
          <w:bCs/>
        </w:rPr>
        <w:t xml:space="preserve">Explanation</w:t>
      </w:r>
      <w:r>
        <w:t xml:space="preserve">: To ensure that the commitments translate into tangible outcomes, regular monitoring and benchmarking of the existing digital trade environment should be established. This commitment involves collecting data, analyzing trends, and assessing the impact of implemented policies to make informed adjustments and improvements over time.</w:t>
      </w:r>
    </w:p>
    <w:p>
      <w:pPr>
        <w:pStyle w:val="FirstParagraph"/>
      </w:pPr>
      <w:r>
        <w:t xml:space="preserve">Through these commitments, Mercosur countries can work collaboratively to create a conducive environment for digital trade, unlocking the full potential of the region’s e-commerce sector and driving economic growth.</w:t>
      </w:r>
    </w:p>
    <w:p>
      <w:pPr>
        <w:pStyle w:val="BodyText"/>
      </w:pPr>
      <w:r>
        <w:rPr>
          <w:b/>
          <w:bCs/>
        </w:rPr>
        <w:t xml:space="preserve">Tags Identified:</w:t>
      </w:r>
    </w:p>
    <w:p>
      <w:pPr>
        <w:numPr>
          <w:ilvl w:val="0"/>
          <w:numId w:val="1030"/>
        </w:numPr>
      </w:pPr>
      <w:r>
        <w:rPr>
          <w:b/>
          <w:bCs/>
        </w:rPr>
        <w:t xml:space="preserve">Digital Transformation &amp; Strategy:</w:t>
      </w:r>
      <w:r>
        <w:t xml:space="preserve"> </w:t>
      </w:r>
      <w:r>
        <w:t xml:space="preserve">Digital Agenda, Digital Platforms, Digital Infrastructure, Digital Trade, Digital Regulation, Digital Economy</w:t>
      </w:r>
    </w:p>
    <w:p>
      <w:pPr>
        <w:numPr>
          <w:ilvl w:val="0"/>
          <w:numId w:val="1030"/>
        </w:numPr>
      </w:pPr>
      <w:r>
        <w:rPr>
          <w:b/>
          <w:bCs/>
        </w:rPr>
        <w:t xml:space="preserve">Technology &amp; Innovation:</w:t>
      </w:r>
      <w:r>
        <w:t xml:space="preserve"> </w:t>
      </w:r>
      <w:r>
        <w:t xml:space="preserve">Cloud Computing, Blockchain</w:t>
      </w:r>
    </w:p>
    <w:p>
      <w:pPr>
        <w:numPr>
          <w:ilvl w:val="0"/>
          <w:numId w:val="1030"/>
        </w:numPr>
      </w:pPr>
      <w:r>
        <w:rPr>
          <w:b/>
          <w:bCs/>
        </w:rPr>
        <w:t xml:space="preserve">Data &amp; Governance:</w:t>
      </w:r>
      <w:r>
        <w:t xml:space="preserve"> </w:t>
      </w:r>
      <w:r>
        <w:t xml:space="preserve">Digital Rights, Data Protection, Cybersecurity, Data Privacy, Digital Access</w:t>
      </w:r>
    </w:p>
    <w:p>
      <w:pPr>
        <w:numPr>
          <w:ilvl w:val="0"/>
          <w:numId w:val="1030"/>
        </w:numPr>
      </w:pPr>
      <w:r>
        <w:rPr>
          <w:b/>
          <w:bCs/>
        </w:rPr>
        <w:t xml:space="preserve">Inclusion &amp; Social Development:</w:t>
      </w:r>
      <w:r>
        <w:t xml:space="preserve"> </w:t>
      </w:r>
      <w:r>
        <w:t xml:space="preserve">Connectivity</w:t>
      </w:r>
    </w:p>
    <w:p>
      <w:pPr>
        <w:pStyle w:val="FirstParagraph"/>
      </w:pPr>
      <w:hyperlink r:id="rId47">
        <w:r>
          <w:rPr>
            <w:rStyle w:val="Hyperlink"/>
          </w:rPr>
          <w:t xml:space="preserve">Original Document</w:t>
        </w:r>
      </w:hyperlink>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Fueling-Digital-Trade-in-Mercosur-A-Regulatory-Roadmap%20(4).pdf" TargetMode="External" /></Relationships>
</file>

<file path=word/_rels/footnotes.xml.rels><?xml version="1.0" encoding="UTF-8"?><Relationships xmlns="http://schemas.openxmlformats.org/package/2006/relationships"><Relationship Type="http://schemas.openxmlformats.org/officeDocument/2006/relationships/hyperlink" Id="rId47" Target="Fueling-Digital-Trade-in-Mercosur-A-Regulatory-Roadmap%20(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2025-05-01T21:06:18Z</dcterms:created>
  <dcterms:modified xsi:type="dcterms:W3CDTF">2025-05-01T21:06:18Z</dcterms:modified>
</cp:coreProperties>
</file>

<file path=docProps/custom.xml><?xml version="1.0" encoding="utf-8"?>
<Properties xmlns="http://schemas.openxmlformats.org/officeDocument/2006/custom-properties" xmlns:vt="http://schemas.openxmlformats.org/officeDocument/2006/docPropsVTypes"/>
</file>