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dbb93abcc3cca33a4f26e7e648957a2b82ac4af"/>
    <w:p>
      <w:pPr>
        <w:pStyle w:val="Heading1"/>
      </w:pPr>
      <w:r>
        <w:t xml:space="preserve">Declaration of the Euro-Latin American Parliamentary Assembly on Addressing the Consequences of Russia’s Invasion of Ukraine and Strengthening EU-Latin America Relations (Brussels, 30 November 2022)</w:t>
      </w:r>
    </w:p>
    <w:p>
      <w:pPr>
        <w:pStyle w:val="FirstParagraph"/>
      </w:pPr>
      <w:r>
        <w:rPr>
          <w:b/>
          <w:bCs/>
        </w:rPr>
        <w:t xml:space="preserve">Date</w:t>
      </w:r>
      <w:r>
        <w:t xml:space="preserve">: 2022-11-30</w:t>
      </w:r>
    </w:p>
    <w:p>
      <w:pPr>
        <w:pStyle w:val="BodyText"/>
      </w:pPr>
      <w:r>
        <w:rPr>
          <w:b/>
          <w:bCs/>
        </w:rPr>
        <w:t xml:space="preserve">Location</w:t>
      </w:r>
      <w:r>
        <w:t xml:space="preserve">: Brussels, Belgium</w:t>
      </w:r>
    </w:p>
    <w:bookmarkStart w:id="20" w:name="executive-summary"/>
    <w:p>
      <w:pPr>
        <w:pStyle w:val="Heading2"/>
      </w:pPr>
      <w:r>
        <w:t xml:space="preserve">Executive Summary</w:t>
      </w:r>
    </w:p>
    <w:p>
      <w:pPr>
        <w:pStyle w:val="FirstParagraph"/>
      </w:pPr>
      <w:r>
        <w:t xml:space="preserve">The Euro-Latin American Parliamentary Assembly (EuroLat) strongly condemns Russia’s invasion of Ukraine, demanding immediate withdrawal and respect for Ukraine’s sovereignty. It highlights Latin America’s support for Ukraine and expresses concern over the economic and social fallout exacerbated by the COVID-19 pandemic. EuroLat calls for strengthened EU-Latin America partnerships, including trade agreements and political dialogue, to address global challenges such as climate change, energy security, and social inequality. Emphasis is placed on protecting vulnerable groups, promoting gender equality, and combating hate speech. The Assembly advocates for sustainable development, fair tax systems, media freedom, and resilient food systems. It urges multilateral cooperation to enhance peace, democracy, and human rights, and calls for reform of the UN system and international financial architecture to better address global crises.</w:t>
      </w:r>
    </w:p>
    <w:bookmarkEnd w:id="20"/>
    <w:bookmarkStart w:id="21" w:name="characteristics"/>
    <w:p>
      <w:pPr>
        <w:pStyle w:val="Heading2"/>
      </w:pPr>
      <w:r>
        <w:t xml:space="preserve">Characteristics</w:t>
      </w:r>
    </w:p>
    <w:p>
      <w:pPr>
        <w:pStyle w:val="Compact"/>
        <w:numPr>
          <w:ilvl w:val="0"/>
          <w:numId w:val="1001"/>
        </w:numPr>
      </w:pPr>
      <w:r>
        <w:t xml:space="preserve">Strong condemnation of Russia’s invasion of Ukraine, calling for immediate withdrawal and respect for Ukraine’s sovereignty.</w:t>
      </w:r>
    </w:p>
    <w:p>
      <w:pPr>
        <w:pStyle w:val="Compact"/>
        <w:numPr>
          <w:ilvl w:val="0"/>
          <w:numId w:val="1001"/>
        </w:numPr>
      </w:pPr>
      <w:r>
        <w:t xml:space="preserve">Emphasis on strengthening EU-Latin America strategic partnership to address global challenges, including post-pandemic recovery and multilateralism.</w:t>
      </w:r>
    </w:p>
    <w:p>
      <w:pPr>
        <w:pStyle w:val="Compact"/>
        <w:numPr>
          <w:ilvl w:val="0"/>
          <w:numId w:val="1001"/>
        </w:numPr>
      </w:pPr>
      <w:r>
        <w:t xml:space="preserve">Calls for enhanced cooperation on trade agreements, visa facilitation, and sustainable development with high human rights standards.</w:t>
      </w:r>
    </w:p>
    <w:p>
      <w:pPr>
        <w:pStyle w:val="Compact"/>
        <w:numPr>
          <w:ilvl w:val="0"/>
          <w:numId w:val="1001"/>
        </w:numPr>
      </w:pPr>
      <w:r>
        <w:t xml:space="preserve">Focus on mitigating economic and social impacts of crises, protecting vulnerable groups, and promoting gender equality and LGBTQIA+ rights.</w:t>
      </w:r>
    </w:p>
    <w:p>
      <w:pPr>
        <w:pStyle w:val="Compact"/>
        <w:numPr>
          <w:ilvl w:val="0"/>
          <w:numId w:val="1001"/>
        </w:numPr>
      </w:pPr>
      <w:r>
        <w:t xml:space="preserve">Advocacy for energy diversification, climate action, food security, and reforming international institutions for better global governance.</w:t>
      </w:r>
    </w:p>
    <w:bookmarkEnd w:id="21"/>
    <w:bookmarkStart w:id="22" w:name="actors"/>
    <w:p>
      <w:pPr>
        <w:pStyle w:val="Heading2"/>
      </w:pPr>
      <w:r>
        <w:t xml:space="preserve">Actors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Actor</w:t>
            </w:r>
          </w:p>
        </w:tc>
      </w:tr>
      <w:tr>
        <w:tc>
          <w:tcPr/>
          <w:p>
            <w:pPr>
              <w:pStyle w:val="Compact"/>
            </w:pPr>
            <w:r>
              <w:t xml:space="preserve">Political Actors</w:t>
            </w:r>
          </w:p>
        </w:tc>
        <w:tc>
          <w:tcPr/>
          <w:p>
            <w:pPr>
              <w:pStyle w:val="Compact"/>
            </w:pPr>
            <w:r>
              <w:t xml:space="preserve">Euro-Latin American Parliamentary Assembly (EuroLat); Colombian House of Representatives; Andean Parliament; European Parliament; Russian Federation; Belarus; Latin American countries; European Union; EU-CELAC Ministerial Meeting; Community of Latin American and Caribbean States; EU Member States; Southern Common Market; United Nations; UN Security Council</w:t>
            </w:r>
          </w:p>
        </w:tc>
      </w:tr>
    </w:tbl>
    <w:bookmarkEnd w:id="22"/>
    <w:bookmarkStart w:id="23" w:name="main-themes"/>
    <w:p>
      <w:pPr>
        <w:pStyle w:val="Heading2"/>
      </w:pPr>
      <w:r>
        <w:t xml:space="preserve">Main Themes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Subcategory</w:t>
            </w:r>
          </w:p>
        </w:tc>
      </w:tr>
      <w:tr>
        <w:tc>
          <w:tcPr/>
          <w:p>
            <w:pPr>
              <w:pStyle w:val="Compact"/>
            </w:pPr>
            <w:r>
              <w:t xml:space="preserve">Regional &amp; International Cooperation</w:t>
            </w:r>
          </w:p>
        </w:tc>
        <w:tc>
          <w:tcPr/>
          <w:p>
            <w:pPr>
              <w:pStyle w:val="Compact"/>
            </w:pPr>
            <w:r>
              <w:t xml:space="preserve">EU-CELAC Digital Partnership; Bi-regional Cooperation</w:t>
            </w:r>
          </w:p>
        </w:tc>
      </w:tr>
    </w:tbl>
    <w:bookmarkEnd w:id="23"/>
    <w:bookmarkStart w:id="24" w:name="practical-applications"/>
    <w:p>
      <w:pPr>
        <w:pStyle w:val="Heading2"/>
      </w:pPr>
      <w:r>
        <w:t xml:space="preserve">Practical Applications</w:t>
      </w:r>
    </w:p>
    <w:p>
      <w:pPr>
        <w:pStyle w:val="Compact"/>
        <w:numPr>
          <w:ilvl w:val="0"/>
          <w:numId w:val="1002"/>
        </w:numPr>
      </w:pPr>
      <w:r>
        <w:t xml:space="preserve">Adoption and implementation of the EU’s ‘Road to 2023’ strategy to revitalize the strategic partnership between the EU and Latin America and the Caribbean, focusing on multilateralism, democracy, human rights, and trade in energy, food, and raw materials sectors.</w:t>
      </w:r>
    </w:p>
    <w:p>
      <w:pPr>
        <w:pStyle w:val="Compact"/>
        <w:numPr>
          <w:ilvl w:val="0"/>
          <w:numId w:val="1002"/>
        </w:numPr>
      </w:pPr>
      <w:r>
        <w:t xml:space="preserve">Holding of the EU-CELAC Ministerial Meeting (27 October 2022) and plans for a Bi-regional EU-CELAC Summit in 2023 to set objectives, priorities, and a concrete action plan addressing common challenges, including safeguarding democracy and human rights.</w:t>
      </w:r>
    </w:p>
    <w:p>
      <w:pPr>
        <w:pStyle w:val="Compact"/>
        <w:numPr>
          <w:ilvl w:val="0"/>
          <w:numId w:val="1002"/>
        </w:numPr>
      </w:pPr>
      <w:r>
        <w:t xml:space="preserve">Ongoing negotiations and efforts to finalize and ratify trade and cooperation agreements such as the EU-Mexico Global Agreement, EU-Mercosur agreement, EU-Chile agreement renewal, and the political dialogue and cooperation pillar of the EU-Central America Association Agreement.</w:t>
      </w:r>
    </w:p>
    <w:p>
      <w:pPr>
        <w:pStyle w:val="Compact"/>
        <w:numPr>
          <w:ilvl w:val="0"/>
          <w:numId w:val="1002"/>
        </w:numPr>
      </w:pPr>
      <w:r>
        <w:t xml:space="preserve">Initiatives to harmonize rules on tourist visas and visa waivers between the EU and Latin America, including prioritizing negotiations towards a Schengen visa waiver for Ecuadorian citizens.</w:t>
      </w:r>
    </w:p>
    <w:p>
      <w:pPr>
        <w:pStyle w:val="Compact"/>
        <w:numPr>
          <w:ilvl w:val="0"/>
          <w:numId w:val="1002"/>
        </w:numPr>
      </w:pPr>
      <w:r>
        <w:t xml:space="preserve">Adoption of policies and programs to diversify energy resources, technologies, and supply routes, including public and private investment in energy efficiency and renewable energy transition to ensure energy sovereignty and meet climate commitments.</w:t>
      </w:r>
    </w:p>
    <w:p>
      <w:pPr>
        <w:pStyle w:val="Compact"/>
        <w:numPr>
          <w:ilvl w:val="0"/>
          <w:numId w:val="1002"/>
        </w:numPr>
      </w:pPr>
      <w:r>
        <w:t xml:space="preserve">Measures at various government levels to ensure access to sustainable, efficient, and affordable energy and electricity markets for citizens and businesses.</w:t>
      </w:r>
    </w:p>
    <w:p>
      <w:pPr>
        <w:pStyle w:val="Compact"/>
        <w:numPr>
          <w:ilvl w:val="0"/>
          <w:numId w:val="1002"/>
        </w:numPr>
      </w:pPr>
      <w:r>
        <w:t xml:space="preserve">Promotion of employment protection, labor rights, and creation of stable, high-quality jobs, with special attention to vulnerable groups such as women, youth, indigenous peoples, elderly, persons with disabilities, and those living alone or in institutions.</w:t>
      </w:r>
    </w:p>
    <w:p>
      <w:pPr>
        <w:pStyle w:val="Compact"/>
        <w:numPr>
          <w:ilvl w:val="0"/>
          <w:numId w:val="1002"/>
        </w:numPr>
      </w:pPr>
      <w:r>
        <w:t xml:space="preserve">Strengthening universal education systems to enhance social inclusion and labor market participation.</w:t>
      </w:r>
    </w:p>
    <w:p>
      <w:pPr>
        <w:pStyle w:val="Compact"/>
        <w:numPr>
          <w:ilvl w:val="0"/>
          <w:numId w:val="1002"/>
        </w:numPr>
      </w:pPr>
      <w:r>
        <w:t xml:space="preserve">Continued work and initiatives promoting gender equality, women’s rights (including sexual and reproductive rights), LGBTQIA+ rights, and combating gender-based violence, trafficking, and sexual exploitation.</w:t>
      </w:r>
    </w:p>
    <w:p>
      <w:pPr>
        <w:pStyle w:val="Compact"/>
        <w:numPr>
          <w:ilvl w:val="0"/>
          <w:numId w:val="1002"/>
        </w:numPr>
      </w:pPr>
      <w:r>
        <w:t xml:space="preserve">Promotion of multilateral cooperation to implement international humanitarian law provisions related to women, peace, and security, including fostering women’s participation in leadership positions in strategic economic sectors.</w:t>
      </w:r>
    </w:p>
    <w:p>
      <w:pPr>
        <w:pStyle w:val="Compact"/>
        <w:numPr>
          <w:ilvl w:val="0"/>
          <w:numId w:val="1002"/>
        </w:numPr>
      </w:pPr>
      <w:r>
        <w:t xml:space="preserve">Adoption of measures against hate speech targeting LGBTQIA+ people.</w:t>
      </w:r>
    </w:p>
    <w:p>
      <w:pPr>
        <w:pStyle w:val="Compact"/>
        <w:numPr>
          <w:ilvl w:val="0"/>
          <w:numId w:val="1002"/>
        </w:numPr>
      </w:pPr>
      <w:r>
        <w:t xml:space="preserve">Efforts to maintain fiscal responsibility and develop fairer, more sustainable, and progressive tax systems.</w:t>
      </w:r>
    </w:p>
    <w:p>
      <w:pPr>
        <w:pStyle w:val="Compact"/>
        <w:numPr>
          <w:ilvl w:val="0"/>
          <w:numId w:val="1002"/>
        </w:numPr>
      </w:pPr>
      <w:r>
        <w:t xml:space="preserve">Initiatives and investments by public and private stakeholders to reconstruct economic, social, healthcare, and food systems, ensuring equitable and inclusive sustainable development and green and digital transitions.</w:t>
      </w:r>
    </w:p>
    <w:p>
      <w:pPr>
        <w:pStyle w:val="Compact"/>
        <w:numPr>
          <w:ilvl w:val="0"/>
          <w:numId w:val="1002"/>
        </w:numPr>
      </w:pPr>
      <w:r>
        <w:t xml:space="preserve">Establishment of frameworks and mechanisms to address unsustainable public debt situations and explore debt forgiveness mechanisms for environmental care and conservation in Latin American countries.</w:t>
      </w:r>
    </w:p>
    <w:p>
      <w:pPr>
        <w:pStyle w:val="Compact"/>
        <w:numPr>
          <w:ilvl w:val="0"/>
          <w:numId w:val="1002"/>
        </w:numPr>
      </w:pPr>
      <w:r>
        <w:t xml:space="preserve">Concrete measures by governments to foster a free and safe environment for journalists and media workers, strengthening media freedom, pluralism, and independence.</w:t>
      </w:r>
    </w:p>
    <w:p>
      <w:pPr>
        <w:pStyle w:val="Compact"/>
        <w:numPr>
          <w:ilvl w:val="0"/>
          <w:numId w:val="1002"/>
        </w:numPr>
      </w:pPr>
      <w:r>
        <w:t xml:space="preserve">Sharing experiences and regulatory frameworks between Latin America, the Caribbean, and the EU to promote the social economy, supporting just transitions, reducing inequalities, and fostering rural development.</w:t>
      </w:r>
    </w:p>
    <w:p>
      <w:pPr>
        <w:pStyle w:val="Compact"/>
        <w:numPr>
          <w:ilvl w:val="0"/>
          <w:numId w:val="1002"/>
        </w:numPr>
      </w:pPr>
      <w:r>
        <w:t xml:space="preserve">Joint initiatives in international fora by Latin America, the Caribbean, and the EU to address global food security challenges, stabilize food prices, and ensure inclusive and sustainable supply chains and markets.</w:t>
      </w:r>
    </w:p>
    <w:p>
      <w:pPr>
        <w:pStyle w:val="Compact"/>
        <w:numPr>
          <w:ilvl w:val="0"/>
          <w:numId w:val="1002"/>
        </w:numPr>
      </w:pPr>
      <w:r>
        <w:t xml:space="preserve">Calls for reforming the UN system to be more representative and inclusive, improving its capacity to address global challenges effectively while respecting sovereignty and equality among states, alongside rethinking the international financial architecture.</w:t>
      </w:r>
    </w:p>
    <w:bookmarkEnd w:id="24"/>
    <w:bookmarkStart w:id="25" w:name="commitments"/>
    <w:p>
      <w:pPr>
        <w:pStyle w:val="Heading2"/>
      </w:pPr>
      <w:r>
        <w:t xml:space="preserve">Commitments</w:t>
      </w:r>
    </w:p>
    <w:p>
      <w:pPr>
        <w:pStyle w:val="FirstParagraph"/>
      </w:pPr>
      <w:r>
        <w:t xml:space="preserve">No specific quantifiable commitments or targets identified.</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2025-06-19T16:41:16Z</dcterms:created>
  <dcterms:modified xsi:type="dcterms:W3CDTF">2025-06-19T16:41:16Z</dcterms:modified>
</cp:coreProperties>
</file>

<file path=docProps/custom.xml><?xml version="1.0" encoding="utf-8"?>
<Properties xmlns="http://schemas.openxmlformats.org/officeDocument/2006/custom-properties" xmlns:vt="http://schemas.openxmlformats.org/officeDocument/2006/docPropsVTypes"/>
</file>