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562660028012a167fa3ba7ed2e1dc7c0b106c0"/>
    <w:p>
      <w:pPr>
        <w:pStyle w:val="Heading1"/>
      </w:pPr>
      <w:r>
        <w:t xml:space="preserve">EU Policy and Outreach Partnerships (POP) and Cultural Relations Platform Overview</w:t>
      </w:r>
    </w:p>
    <w:p>
      <w:pPr>
        <w:pStyle w:val="FirstParagraph"/>
      </w:pPr>
      <w:r>
        <w:rPr>
          <w:b/>
          <w:bCs/>
        </w:rPr>
        <w:t xml:space="preserve">Date</w:t>
      </w:r>
      <w:r>
        <w:t xml:space="preserve">: 2020-10-09</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 Policy and Outreach Partnerships (POP), established under the EU Foreign Policy Instrument, aim to enhance the EU’s engagement with partner countries through public diplomacy, focusing on improving understanding of the European project and deepening connections with future leaders in key policy areas, including culture. As of 2020, ten POP and related support programmes are active across regions such as the USA, Canada, Mexico and Central America, South America, Russia, China, Indonesia, India, South Korea, and Japan. Activities include support and cooperation in cultural and creative sectors, facilitation of cultural exchanges, promotion of EU cultural initiatives, and capacity-building. These efforts are designed to foster cultural relations, diplomacy, and cooperation, particularly in fragile contexts, thereby strengthening the EU’s global presence and influence.</w:t>
      </w:r>
    </w:p>
    <w:bookmarkEnd w:id="20"/>
    <w:bookmarkStart w:id="21" w:name="characteristics"/>
    <w:p>
      <w:pPr>
        <w:pStyle w:val="Heading2"/>
      </w:pPr>
      <w:r>
        <w:t xml:space="preserve">Characteristics</w:t>
      </w:r>
    </w:p>
    <w:p>
      <w:pPr>
        <w:pStyle w:val="Compact"/>
        <w:numPr>
          <w:ilvl w:val="0"/>
          <w:numId w:val="1001"/>
        </w:numPr>
      </w:pPr>
      <w:r>
        <w:t xml:space="preserve">The EU Policy and Outreach Partnerships (POP) are initiatives under the EU Foreign Policy Instrument (FPI) aimed at engaging partner country audiences through public diplomacy, activities, tools, and training.</w:t>
      </w:r>
    </w:p>
    <w:p>
      <w:pPr>
        <w:pStyle w:val="Compact"/>
        <w:numPr>
          <w:ilvl w:val="0"/>
          <w:numId w:val="1001"/>
        </w:numPr>
      </w:pPr>
      <w:r>
        <w:t xml:space="preserve">POP’s objectives include improving understanding of the European project among partner country citizens and deepening EU engagement with future leaders and influencers, especially in key policy areas like culture.</w:t>
      </w:r>
    </w:p>
    <w:p>
      <w:pPr>
        <w:pStyle w:val="Compact"/>
        <w:numPr>
          <w:ilvl w:val="0"/>
          <w:numId w:val="1001"/>
        </w:numPr>
      </w:pPr>
      <w:r>
        <w:t xml:space="preserve">Ten POP programmes are implemented globally, including in the USA, Canada, Mexico and Central America, South America, Russia, China, Indonesia, India, Republic of Korea, and Japan.</w:t>
      </w:r>
    </w:p>
    <w:p>
      <w:pPr>
        <w:pStyle w:val="Compact"/>
        <w:numPr>
          <w:ilvl w:val="0"/>
          <w:numId w:val="1001"/>
        </w:numPr>
      </w:pPr>
      <w:r>
        <w:t xml:space="preserve">Activities include support and cooperation in cultural and creative sectors, facilitation of cultural exchanges and matchmaking, cultural cooperation in fragile contexts, promotion of EU prizes and outreach, cultural relations and diplomacy strategies, and capacity-building.</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 Delegations; European Commission</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Digital &amp; Technological Partnerships; Bi-regional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EU Policy and Outreach Partnerships (POP) programmes in multiple regions, including South America (Argentina, Brazil, Chile, Colombia, Peru, Uruguay), USA, Canada, Mexico and Central America, Russia, China, Indonesia, India, Republic of Korea, and Japan, supporting public diplomacy activities, tools, and training to engage with partner country audiences.</w:t>
      </w:r>
    </w:p>
    <w:p>
      <w:pPr>
        <w:pStyle w:val="Compact"/>
        <w:numPr>
          <w:ilvl w:val="0"/>
          <w:numId w:val="1002"/>
        </w:numPr>
      </w:pPr>
      <w:r>
        <w:t xml:space="preserve">Active support and cooperation initiatives in the cultural and creative sectors through POP, including facilitation of cultural exchanges and matchmaking, cultural cooperation in fragile contexts, promotion of EU prizes and European Capitals of Culture (ECOC), and outreach activities.</w:t>
      </w:r>
    </w:p>
    <w:p>
      <w:pPr>
        <w:pStyle w:val="Compact"/>
        <w:numPr>
          <w:ilvl w:val="0"/>
          <w:numId w:val="1002"/>
        </w:numPr>
      </w:pPr>
      <w:r>
        <w:t xml:space="preserve">Ongoing capacity-building activities and the development of cultural relations and diplomacy strategies as part of the POP framework.</w:t>
      </w:r>
    </w:p>
    <w:p>
      <w:pPr>
        <w:pStyle w:val="Compact"/>
        <w:numPr>
          <w:ilvl w:val="0"/>
          <w:numId w:val="1002"/>
        </w:numPr>
      </w:pPr>
      <w:r>
        <w:t xml:space="preserve">Operation of specific support facilities such as the Policy Dialogue Support Facility in India and the Republic of Korea, and the Support Facility for the implementation of the EU-Japan Strategic Partnership Agreement.</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2025-06-11T17:41:56Z</dcterms:created>
  <dcterms:modified xsi:type="dcterms:W3CDTF">2025-06-11T17:41:56Z</dcterms:modified>
</cp:coreProperties>
</file>

<file path=docProps/custom.xml><?xml version="1.0" encoding="utf-8"?>
<Properties xmlns="http://schemas.openxmlformats.org/officeDocument/2006/custom-properties" xmlns:vt="http://schemas.openxmlformats.org/officeDocument/2006/docPropsVTypes"/>
</file>