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84c530b8ac0fc803ed07454a017267a2439eba"/>
    <w:p>
      <w:pPr>
        <w:pStyle w:val="Heading1"/>
      </w:pPr>
      <w:r>
        <w:t xml:space="preserve">EU-CELAC 2021-2023 Strategic Roadmap for Science, Technology, and Innovation Cooperation</w:t>
      </w:r>
    </w:p>
    <w:p>
      <w:pPr>
        <w:pStyle w:val="FirstParagraph"/>
      </w:pPr>
      <w:r>
        <w:rPr>
          <w:b/>
          <w:bCs/>
        </w:rPr>
        <w:t xml:space="preserve">Date</w:t>
      </w:r>
      <w:r>
        <w:t xml:space="preserve">: 2021-04-30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EU-CELAC 2021-2023 Strategic Roadmap outlines joint priorities for research and innovation between the European Union and the Community of Latin American and Caribbean States (CELAC). Building on the Brussels Declaration and Action Plan, the roadmap focuses on four pillars: researcher mobility, research infrastructures, global challenges (health, environment, digital), and innovation. Key actions include enhancing academic mobility, strengthening research infrastructure collaboration, addressing shared global challenges such as COVID-19, climate change, and digital transformation, and integrating innovation as a core area of cooperation. The roadmap emphasizes open science, data sharing, and the use of EU programs like Horizon Europe to deepen bi-regional collaboration. It calls for systemic, multidisciplinary approaches and highlights the importance of policy exchange, capacity building, and inclusive, sustainable development. Progress will be reviewed at future Senior Officials Meetings.</w:t>
      </w:r>
    </w:p>
    <w:bookmarkEnd w:id="20"/>
    <w:bookmarkStart w:id="21" w:name="characteristics"/>
    <w:p>
      <w:pPr>
        <w:pStyle w:val="Heading2"/>
      </w:pPr>
      <w:r>
        <w:t xml:space="preserve">Characteristics</w:t>
      </w:r>
    </w:p>
    <w:p>
      <w:pPr>
        <w:pStyle w:val="Compact"/>
        <w:numPr>
          <w:ilvl w:val="0"/>
          <w:numId w:val="1001"/>
        </w:numPr>
      </w:pPr>
      <w:r>
        <w:t xml:space="preserve">Four Pillars: The roadmap is structured around four pillars—Research Infrastructures, Researcher Mobility, Global Challenges (health, environment, digital), and Innovation—aimed at deepening EU-CELAC cooperation in science, technology, and innovation.</w:t>
      </w:r>
    </w:p>
    <w:p>
      <w:pPr>
        <w:pStyle w:val="Compact"/>
        <w:numPr>
          <w:ilvl w:val="0"/>
          <w:numId w:val="1001"/>
        </w:numPr>
      </w:pPr>
      <w:r>
        <w:t xml:space="preserve">Strategic Priorities: Focus areas include health (pandemics, chronic diseases), environmental sustainability (climate change, biodiversity, sustainable agriculture, Atlantic Ocean research), digital transformation (connectivity, cybersecurity, digital skills), and fostering innovation ecosystems.</w:t>
      </w:r>
    </w:p>
    <w:p>
      <w:pPr>
        <w:pStyle w:val="Compact"/>
        <w:numPr>
          <w:ilvl w:val="0"/>
          <w:numId w:val="1001"/>
        </w:numPr>
      </w:pPr>
      <w:r>
        <w:t xml:space="preserve">Researcher Mobility &amp; Capacity Building: Emphasizes academic and researcher mobility, capacity building, and support for doctoral/postdoctoral programs, with tools like Erasmus+, Marie Skłodowska-Curie Actions, and the Euraxess portal.</w:t>
      </w:r>
    </w:p>
    <w:p>
      <w:pPr>
        <w:pStyle w:val="Compact"/>
        <w:numPr>
          <w:ilvl w:val="0"/>
          <w:numId w:val="1001"/>
        </w:numPr>
      </w:pPr>
      <w:r>
        <w:t xml:space="preserve">Open Science &amp; Data Sharing: Strong commitment to open access publishing, responsible research data management (FAIR principles), and exploring joint initiatives for open science and data commons between the regions.</w:t>
      </w:r>
    </w:p>
    <w:p>
      <w:pPr>
        <w:pStyle w:val="Compact"/>
        <w:numPr>
          <w:ilvl w:val="0"/>
          <w:numId w:val="1001"/>
        </w:numPr>
      </w:pPr>
      <w:r>
        <w:t xml:space="preserve">Innovation Ecosystem: Recognizes innovation as a key pillar, promoting collaboration between academia and business, support for intellectual property, technology transfer, smart specialization, and social innovation.</w:t>
      </w:r>
    </w:p>
    <w:p>
      <w:pPr>
        <w:pStyle w:val="Compact"/>
        <w:numPr>
          <w:ilvl w:val="0"/>
          <w:numId w:val="1001"/>
        </w:numPr>
      </w:pPr>
      <w:r>
        <w:t xml:space="preserve">Policy Alignment &amp; Programmes: Encourages use of EU programmes like Horizon Europe, supports policy dialogue, and calls for working groups to align activities with these strategic priorities and report progress regularly.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Community of Latin American and Caribbean States; European Commission; EU Member States</w:t>
            </w:r>
          </w:p>
        </w:tc>
      </w:tr>
      <w:tr>
        <w:tc>
          <w:tcPr/>
          <w:p>
            <w:pPr>
              <w:pStyle w:val="Compact"/>
            </w:pPr>
            <w:r>
              <w:t xml:space="preserve">Research and Innovation Actors</w:t>
            </w:r>
          </w:p>
        </w:tc>
        <w:tc>
          <w:tcPr/>
          <w:p>
            <w:pPr>
              <w:pStyle w:val="Compact"/>
            </w:pPr>
            <w:r>
              <w:t xml:space="preserve">Universities; Research Performing Organisations; Academic Institutions; Researchers; Innovators; Knowledge and Innovation Communities; EU-LAC Foundation; Latin American Cooperation of Advanced Networks; National Research and Education Networks</w:t>
            </w:r>
          </w:p>
        </w:tc>
      </w:tr>
      <w:tr>
        <w:tc>
          <w:tcPr/>
          <w:p>
            <w:pPr>
              <w:pStyle w:val="Compact"/>
            </w:pPr>
            <w:r>
              <w:t xml:space="preserve">Economic Actors</w:t>
            </w:r>
          </w:p>
        </w:tc>
        <w:tc>
          <w:tcPr/>
          <w:p>
            <w:pPr>
              <w:pStyle w:val="Compact"/>
            </w:pPr>
            <w:r>
              <w:t xml:space="preserve">Research Funding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EU-CELAC Digital Partnership; Bi-regional Cooperation; Digital &amp; Technological Partnerships; Multilateralism</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Skills Development; Digital Economy; Digital Ecosystem; Digital Policy; Digital Research; Digital Transitions</w:t>
            </w:r>
          </w:p>
        </w:tc>
      </w:tr>
      <w:tr>
        <w:tc>
          <w:tcPr/>
          <w:p>
            <w:pPr>
              <w:pStyle w:val="Compact"/>
            </w:pPr>
            <w:r>
              <w:t xml:space="preserve">Technology &amp; Innovation</w:t>
            </w:r>
          </w:p>
        </w:tc>
        <w:tc>
          <w:tcPr/>
          <w:p>
            <w:pPr>
              <w:pStyle w:val="Compact"/>
            </w:pPr>
            <w:r>
              <w:t xml:space="preserve">Artificial Intelligence; Tech-Driven Solutions; ICT Innovation; Innovation in Computing; High-Performance Computing; Cloud Computing; VRE</w:t>
            </w:r>
          </w:p>
        </w:tc>
      </w:tr>
      <w:tr>
        <w:tc>
          <w:tcPr/>
          <w:p>
            <w:pPr>
              <w:pStyle w:val="Compact"/>
            </w:pPr>
            <w:r>
              <w:t xml:space="preserve">Data &amp; Governance</w:t>
            </w:r>
          </w:p>
        </w:tc>
        <w:tc>
          <w:tcPr/>
          <w:p>
            <w:pPr>
              <w:pStyle w:val="Compact"/>
            </w:pPr>
            <w:r>
              <w:t xml:space="preserve">Data Governance; Cybersecurity; Data Protection; Digital Governance; Digital Ethics; E-Governance; Internet Governance; Data Privacy</w:t>
            </w:r>
          </w:p>
        </w:tc>
      </w:tr>
      <w:tr>
        <w:tc>
          <w:tcPr/>
          <w:p>
            <w:pPr>
              <w:pStyle w:val="Compact"/>
            </w:pPr>
            <w:r>
              <w:t xml:space="preserve">Inclusion &amp; Social Development</w:t>
            </w:r>
          </w:p>
        </w:tc>
        <w:tc>
          <w:tcPr/>
          <w:p>
            <w:pPr>
              <w:pStyle w:val="Compact"/>
            </w:pPr>
            <w:r>
              <w:t xml:space="preserve">Digital Inclusion; Connectivity; Digital Education; Sustainable Digital Development; Social Cohesion</w:t>
            </w:r>
          </w:p>
        </w:tc>
      </w:tr>
    </w:tbl>
    <w:bookmarkEnd w:id="23"/>
    <w:bookmarkStart w:id="24" w:name="practical-applications"/>
    <w:p>
      <w:pPr>
        <w:pStyle w:val="Heading2"/>
      </w:pPr>
      <w:r>
        <w:t xml:space="preserve">Practical Applications</w:t>
      </w:r>
    </w:p>
    <w:p>
      <w:pPr>
        <w:pStyle w:val="Compact"/>
        <w:numPr>
          <w:ilvl w:val="0"/>
          <w:numId w:val="1002"/>
        </w:numPr>
      </w:pPr>
      <w:r>
        <w:t xml:space="preserve">The EU-CELAC Working Group (WG) on Research Infrastructures, established in 2017, is actively working on roadmapping, governance, access policies, and practical support for partnering of research infrastructures between the EU and CELAC regions.</w:t>
      </w:r>
    </w:p>
    <w:p>
      <w:pPr>
        <w:pStyle w:val="Compact"/>
        <w:numPr>
          <w:ilvl w:val="0"/>
          <w:numId w:val="1002"/>
        </w:numPr>
      </w:pPr>
      <w:r>
        <w:t xml:space="preserve">The EU-LAC RESInfra project, funded by the EU Framework Programme for Research and Innovation (Horizon 2020), is supporting the operation of the Research Infrastructures Working Group and facilitating closer collaboration between EU and CELAC research infrastructures.</w:t>
      </w:r>
    </w:p>
    <w:p>
      <w:pPr>
        <w:pStyle w:val="Compact"/>
        <w:numPr>
          <w:ilvl w:val="0"/>
          <w:numId w:val="1002"/>
        </w:numPr>
      </w:pPr>
      <w:r>
        <w:t xml:space="preserve">The extension of the Euraxess mobility portal to the entire CELAC region is being implemented to support researcher mobility and knowledge transfer.</w:t>
      </w:r>
    </w:p>
    <w:p>
      <w:pPr>
        <w:pStyle w:val="Compact"/>
        <w:numPr>
          <w:ilvl w:val="0"/>
          <w:numId w:val="1002"/>
        </w:numPr>
      </w:pPr>
      <w:r>
        <w:t xml:space="preserve">Ongoing support and promotion of Marie Skłodowska-Curie Actions under Horizon Europe and Erasmus+ for human capital development, international collaboration, and knowledge transfer between the EU and CELAC.</w:t>
      </w:r>
    </w:p>
    <w:p>
      <w:pPr>
        <w:pStyle w:val="Compact"/>
        <w:numPr>
          <w:ilvl w:val="0"/>
          <w:numId w:val="1002"/>
        </w:numPr>
      </w:pPr>
      <w:r>
        <w:t xml:space="preserve">The CELAC Network of Specialists in Infectious Agents and Emerging and Re-emerging Diseases is an active regional research network supported by the partnership.</w:t>
      </w:r>
    </w:p>
    <w:p>
      <w:pPr>
        <w:pStyle w:val="Compact"/>
        <w:numPr>
          <w:ilvl w:val="0"/>
          <w:numId w:val="1002"/>
        </w:numPr>
      </w:pPr>
      <w:r>
        <w:t xml:space="preserve">Participation and cooperation in existing global health research initiatives, such as the Global Alliance for Chronic Diseases (GACD), Global Research Collaboration for Infectious Diseases Prevention (GloPID-R), Coalition for Epidemic Preparedness Innovations (CEPI), and GAVI (</w:t>
      </w:r>
      <w:r>
        <w:t xml:space="preserve">‘the Vaccine Alliance’</w:t>
      </w:r>
      <w:r>
        <w:t xml:space="preserve">), are being promoted and supported.</w:t>
      </w:r>
    </w:p>
    <w:p>
      <w:pPr>
        <w:pStyle w:val="Compact"/>
        <w:numPr>
          <w:ilvl w:val="0"/>
          <w:numId w:val="1002"/>
        </w:numPr>
      </w:pPr>
      <w:r>
        <w:t xml:space="preserve">The European COVID-19 Data Platform (www.covid19dataportal.org) is being used to coordinate open science and data sharing between the EU and CELAC regions.</w:t>
      </w:r>
    </w:p>
    <w:p>
      <w:pPr>
        <w:pStyle w:val="Compact"/>
        <w:numPr>
          <w:ilvl w:val="0"/>
          <w:numId w:val="1002"/>
        </w:numPr>
      </w:pPr>
      <w:r>
        <w:t xml:space="preserve">The BELLA cable project is being implemented to establish a high-speed digital link between the EU and CELAC regions, with ongoing efforts to extend its reach within CELAC countries.</w:t>
      </w:r>
    </w:p>
    <w:p>
      <w:pPr>
        <w:pStyle w:val="Compact"/>
        <w:numPr>
          <w:ilvl w:val="0"/>
          <w:numId w:val="1002"/>
        </w:numPr>
      </w:pPr>
      <w:r>
        <w:t xml:space="preserve">EU pilot actions on smart specialisation are being conducted in the Latin America and Caribbean region, supported under the EU Regional Facility for Development in Transition, to test and promote innovation-driven sustainable territorial development.</w:t>
      </w:r>
    </w:p>
    <w:p>
      <w:pPr>
        <w:pStyle w:val="Compact"/>
        <w:numPr>
          <w:ilvl w:val="0"/>
          <w:numId w:val="1002"/>
        </w:numPr>
      </w:pPr>
      <w:r>
        <w:t xml:space="preserve">The Horizon Europe programme, launched in 2021, is open to CELAC participation, with specific calls and partnerships flagged to boost EU-CELAC cooperation in research and innovation.</w:t>
      </w:r>
    </w:p>
    <w:p>
      <w:pPr>
        <w:pStyle w:val="Compact"/>
        <w:numPr>
          <w:ilvl w:val="0"/>
          <w:numId w:val="1002"/>
        </w:numPr>
      </w:pPr>
      <w:r>
        <w:t xml:space="preserve">Ongoing support for open access publishing and research data management initiatives in CELAC states, including the implementation of data repositories in higher education institutions and research organisations.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2025-06-11T17:44:52Z</dcterms:created>
  <dcterms:modified xsi:type="dcterms:W3CDTF">2025-06-11T17:44:52Z</dcterms:modified>
</cp:coreProperties>
</file>

<file path=docProps/custom.xml><?xml version="1.0" encoding="utf-8"?>
<Properties xmlns="http://schemas.openxmlformats.org/officeDocument/2006/custom-properties" xmlns:vt="http://schemas.openxmlformats.org/officeDocument/2006/docPropsVTypes"/>
</file>