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40ebad9373b6308be0b779c3082abda6d53fbf"/>
    <w:p>
      <w:pPr>
        <w:pStyle w:val="Heading1"/>
      </w:pPr>
      <w:r>
        <w:t xml:space="preserve">European Commission Work Programme 2023: Priorities and Initiatives for a United and Resilient EU</w:t>
      </w:r>
    </w:p>
    <w:p>
      <w:pPr>
        <w:pStyle w:val="FirstParagraph"/>
      </w:pPr>
      <w:r>
        <w:rPr>
          <w:b/>
          <w:bCs/>
        </w:rPr>
        <w:t xml:space="preserve">Date</w:t>
      </w:r>
      <w:r>
        <w:t xml:space="preserve">: 2022-10-18</w:t>
      </w:r>
    </w:p>
    <w:p>
      <w:pPr>
        <w:pStyle w:val="BodyText"/>
      </w:pPr>
      <w:r>
        <w:rPr>
          <w:b/>
          <w:bCs/>
        </w:rPr>
        <w:t xml:space="preserve">Location</w:t>
      </w:r>
      <w:r>
        <w:t xml:space="preserve">: Strasbourg, France</w:t>
      </w:r>
    </w:p>
    <w:bookmarkStart w:id="20" w:name="executive-summary"/>
    <w:p>
      <w:pPr>
        <w:pStyle w:val="Heading2"/>
      </w:pPr>
      <w:r>
        <w:t xml:space="preserve">Executive Summary</w:t>
      </w:r>
    </w:p>
    <w:p>
      <w:pPr>
        <w:pStyle w:val="FirstParagraph"/>
      </w:pPr>
      <w:r>
        <w:t xml:space="preserve">The 2023 European Commission Work Programme outlines the EU’s strategic response to ongoing crises, notably the Russian invasion of Ukraine, energy and food security challenges, and the need for economic and social resilience. The programme emphasizes unity, accelerated green and digital transitions, and swift, collective action. Key priorities include supporting Ukraine, reducing energy dependence on Russia, advancing the European Green Deal, fostering digital innovation, and strengthening the EU’s economic base. The Commission will focus on social justice, democratic resilience, and upholding the rule of law, while implementing measures for sustainable growth, skills development, and crisis preparedness. The programme also highlights better regulation, effective enforcement of EU law, and enhanced citizen participation, aiming to deliver tangible benefits and maintain the EU’s global leadership and solidarity.</w:t>
      </w:r>
    </w:p>
    <w:bookmarkEnd w:id="20"/>
    <w:bookmarkStart w:id="21" w:name="characteristics"/>
    <w:p>
      <w:pPr>
        <w:pStyle w:val="Heading2"/>
      </w:pPr>
      <w:r>
        <w:t xml:space="preserve">Characteristics</w:t>
      </w:r>
    </w:p>
    <w:p>
      <w:pPr>
        <w:pStyle w:val="Compact"/>
        <w:numPr>
          <w:ilvl w:val="0"/>
          <w:numId w:val="1001"/>
        </w:numPr>
      </w:pPr>
      <w:r>
        <w:t xml:space="preserve">Focus on Unity and Crisis Response: The 2023 programme emphasizes collective EU action to address major crises, including the Russian invasion of Ukraine, energy and food security, and the cost-of-living crisis, highlighting solidarity, swift responses, and support for Ukraine.</w:t>
      </w:r>
    </w:p>
    <w:p>
      <w:pPr>
        <w:pStyle w:val="Compact"/>
        <w:numPr>
          <w:ilvl w:val="0"/>
          <w:numId w:val="1001"/>
        </w:numPr>
      </w:pPr>
      <w:r>
        <w:t xml:space="preserve">Acceleration of Green and Digital Transitions: Prioritizes the European Green Deal (climate action, energy transition, circular economy) and digital transformation (digital skills, critical raw materials, metaverse, SME support), aiming for a resilient, competitive, and sustainable EU.</w:t>
      </w:r>
    </w:p>
    <w:p>
      <w:pPr>
        <w:pStyle w:val="Compact"/>
        <w:numPr>
          <w:ilvl w:val="0"/>
          <w:numId w:val="1001"/>
        </w:numPr>
      </w:pPr>
      <w:r>
        <w:t xml:space="preserve">Economic and Social Resilience: Proposes measures to strengthen the EU’s economic base, social market economy, and financial frameworks, including new own resources, a European Sovereignty Fund, and initiatives for skills, social rights, and fair labour mobility.</w:t>
      </w:r>
    </w:p>
    <w:p>
      <w:pPr>
        <w:pStyle w:val="Compact"/>
        <w:numPr>
          <w:ilvl w:val="0"/>
          <w:numId w:val="1001"/>
        </w:numPr>
      </w:pPr>
      <w:r>
        <w:t xml:space="preserve">Strengthening Democracy and Rule of Law: Includes actions to defend democracy, media freedom, rule of law, and fundamental rights, with new initiatives on anti-corruption, electoral integrity, and inclusion (e.g., disability card, anti-discrimination).</w:t>
      </w:r>
    </w:p>
    <w:p>
      <w:pPr>
        <w:pStyle w:val="Compact"/>
        <w:numPr>
          <w:ilvl w:val="0"/>
          <w:numId w:val="1001"/>
        </w:numPr>
      </w:pPr>
      <w:r>
        <w:t xml:space="preserve">Enhanced Global Role and Security: Reinforces the EU’s commitment to multilateralism, security, and defence, with continued support for Ukraine, updated sanctions, and efforts to diversify supply chains and strengthen humanitarian and crisis response capacities.</w:t>
      </w:r>
    </w:p>
    <w:p>
      <w:pPr>
        <w:pStyle w:val="Compact"/>
        <w:numPr>
          <w:ilvl w:val="0"/>
          <w:numId w:val="1001"/>
        </w:numPr>
      </w:pPr>
      <w:r>
        <w:t xml:space="preserve">Better Regulation and Implementation: Stresses evidence-based policymaking, regulatory simplification (e.g., ‘one in, one out’), and robust enforcement of EU law to maximize benefits for citizens and businesses.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 European Parliament; European Council; United Nations; United Nations Officials; Policy Level Representatives; Government Officials; Governments</w:t>
            </w:r>
          </w:p>
        </w:tc>
      </w:tr>
      <w:tr>
        <w:tc>
          <w:tcPr/>
          <w:p>
            <w:pPr>
              <w:pStyle w:val="Compact"/>
            </w:pPr>
            <w:r>
              <w:t xml:space="preserve">Research and Innovation Actors</w:t>
            </w:r>
          </w:p>
        </w:tc>
        <w:tc>
          <w:tcPr/>
          <w:p>
            <w:pPr>
              <w:pStyle w:val="Compact"/>
            </w:pPr>
            <w:r>
              <w:t xml:space="preserve">European Institute of Innovation and Technology; Digital Innovation Hubs; Universities; Academic Institutions; Research Performing Organisations; Researchers; Knowledge and Innovation Communities</w:t>
            </w:r>
          </w:p>
        </w:tc>
      </w:tr>
      <w:tr>
        <w:tc>
          <w:tcPr/>
          <w:p>
            <w:pPr>
              <w:pStyle w:val="Compact"/>
            </w:pPr>
            <w:r>
              <w:t xml:space="preserve">Economic Actors</w:t>
            </w:r>
          </w:p>
        </w:tc>
        <w:tc>
          <w:tcPr/>
          <w:p>
            <w:pPr>
              <w:pStyle w:val="Compact"/>
            </w:pPr>
            <w:r>
              <w:t xml:space="preserve">Organisation for Economic Cooperation and Development; Industry Actors; Private Sector Representatives; Research Funding Organisations; Digital Companies; ICT Companies; Telecommunication Companies; World Bank</w:t>
            </w:r>
          </w:p>
        </w:tc>
      </w:tr>
      <w:tr>
        <w:tc>
          <w:tcPr/>
          <w:p>
            <w:pPr>
              <w:pStyle w:val="Compact"/>
            </w:pPr>
            <w:r>
              <w:t xml:space="preserve">Civil Society Actors</w:t>
            </w:r>
          </w:p>
        </w:tc>
        <w:tc>
          <w:tcPr/>
          <w:p>
            <w:pPr>
              <w:pStyle w:val="Compact"/>
            </w:pPr>
            <w:r>
              <w:t xml:space="preserve">Civil Society Organisations; Non-governmental Institutions; Digital Training and Education Providers; Digital Skills Development Platforms; Digital Literacy Initiatives; 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Decade; Digital Acceleration; Digital Platforms; Digital Infrastructure; Digital Policy; Digital Ecosystem; Digital Investment; Digital Regulation; Digital Transitions; Digital Skills Development; Digital Economy</w:t>
            </w:r>
          </w:p>
        </w:tc>
      </w:tr>
      <w:tr>
        <w:tc>
          <w:tcPr/>
          <w:p>
            <w:pPr>
              <w:pStyle w:val="Compact"/>
            </w:pPr>
            <w:r>
              <w:t xml:space="preserve">Technology &amp; Innovation</w:t>
            </w:r>
          </w:p>
        </w:tc>
        <w:tc>
          <w:tcPr/>
          <w:p>
            <w:pPr>
              <w:pStyle w:val="Compact"/>
            </w:pPr>
            <w:r>
              <w:t xml:space="preserve">Artificial Intelligence; Tech-Driven Solutions; ICT Innovation; Cloud Computing; Innovation in Computing; 5G</w:t>
            </w:r>
          </w:p>
        </w:tc>
      </w:tr>
      <w:tr>
        <w:tc>
          <w:tcPr/>
          <w:p>
            <w:pPr>
              <w:pStyle w:val="Compact"/>
            </w:pPr>
            <w:r>
              <w:t xml:space="preserve">Data &amp; Governance</w:t>
            </w:r>
          </w:p>
        </w:tc>
        <w:tc>
          <w:tcPr/>
          <w:p>
            <w:pPr>
              <w:pStyle w:val="Compact"/>
            </w:pPr>
            <w:r>
              <w:t xml:space="preserve">Data Governance; Digital Governance; Data Protection; Cybersecurity; Cyber Risk Management; Data Privacy;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Digital Education; Connectivity; Sustainable Digital Development; Gender Equality in Tech</w:t>
            </w:r>
          </w:p>
        </w:tc>
      </w:tr>
      <w:tr>
        <w:tc>
          <w:tcPr/>
          <w:p>
            <w:pPr>
              <w:pStyle w:val="Compact"/>
            </w:pPr>
            <w:r>
              <w:t xml:space="preserve">Regional &amp; International Cooperation</w:t>
            </w:r>
          </w:p>
        </w:tc>
        <w:tc>
          <w:tcPr/>
          <w:p>
            <w:pPr>
              <w:pStyle w:val="Compact"/>
            </w:pPr>
            <w:r>
              <w:t xml:space="preserve">EU-LAC Digital Alliance; Bi-regional Cooperation; Global Digital Cooperation; Multilateralism; EU-CELAC Digital Partnership;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RepowerEU plan to reduce dependence on Russian energy imports, including the Gas Storage Regulation and the European Gas Demand Reduction Plan, with almost 91% of EU storage capacity filled and Member States enacting gas savings plans.</w:t>
      </w:r>
    </w:p>
    <w:p>
      <w:pPr>
        <w:pStyle w:val="Compact"/>
        <w:numPr>
          <w:ilvl w:val="0"/>
          <w:numId w:val="1002"/>
        </w:numPr>
      </w:pPr>
      <w:r>
        <w:t xml:space="preserve">Emergency energy market intervention measures to tackle price rises and reduce energy bills for Europeans and businesses.</w:t>
      </w:r>
    </w:p>
    <w:p>
      <w:pPr>
        <w:pStyle w:val="Compact"/>
        <w:numPr>
          <w:ilvl w:val="0"/>
          <w:numId w:val="1002"/>
        </w:numPr>
      </w:pPr>
      <w:r>
        <w:t xml:space="preserve">Stepping up resilience and response capacities of critical infrastructure through a five-step plan.</w:t>
      </w:r>
    </w:p>
    <w:p>
      <w:pPr>
        <w:pStyle w:val="Compact"/>
        <w:numPr>
          <w:ilvl w:val="0"/>
          <w:numId w:val="1002"/>
        </w:numPr>
      </w:pPr>
      <w:r>
        <w:t xml:space="preserve">Continued investment and reforms through NextGenerationEU, including the use of the EU budget and financial solidarity mechanisms.</w:t>
      </w:r>
    </w:p>
    <w:p>
      <w:pPr>
        <w:pStyle w:val="Compact"/>
        <w:numPr>
          <w:ilvl w:val="0"/>
          <w:numId w:val="1002"/>
        </w:numPr>
      </w:pPr>
      <w:r>
        <w:t xml:space="preserve">Over EUR 19 billion mobilised by the EU and Member States to support Ukraine’s economic, social, and financial resilience, plus EUR 3.1 billion in military support under the European Peace Facility.</w:t>
      </w:r>
    </w:p>
    <w:p>
      <w:pPr>
        <w:pStyle w:val="Compact"/>
        <w:numPr>
          <w:ilvl w:val="0"/>
          <w:numId w:val="1002"/>
        </w:numPr>
      </w:pPr>
      <w:r>
        <w:t xml:space="preserve">Activation of the Temporary Protection Directive to provide Ukrainian refugees with access to jobs, housing, education, and healthcare.</w:t>
      </w:r>
    </w:p>
    <w:p>
      <w:pPr>
        <w:pStyle w:val="Compact"/>
        <w:numPr>
          <w:ilvl w:val="0"/>
          <w:numId w:val="1002"/>
        </w:numPr>
      </w:pPr>
      <w:r>
        <w:t xml:space="preserve">Over 70,000 tonnes of aid provided to Ukraine via the EU Civil Protection Mechanism, including food, water, shelter, energy, and healthcare.</w:t>
      </w:r>
    </w:p>
    <w:p>
      <w:pPr>
        <w:pStyle w:val="Compact"/>
        <w:numPr>
          <w:ilvl w:val="0"/>
          <w:numId w:val="1002"/>
        </w:numPr>
      </w:pPr>
      <w:r>
        <w:t xml:space="preserve">Mobilisation of medical and specialised equipment for public health risks through the Health Emergency and Preparedness Authority (HERA) and rescEU emergency stockpiles.</w:t>
      </w:r>
    </w:p>
    <w:p>
      <w:pPr>
        <w:pStyle w:val="Compact"/>
        <w:numPr>
          <w:ilvl w:val="0"/>
          <w:numId w:val="1002"/>
        </w:numPr>
      </w:pPr>
      <w:r>
        <w:t xml:space="preserve">Cohesion’s Action for Refugees in Europe (CARE) and the FAST-CARE proposal to facilitate the use of cohesion funds for people fleeing the war.</w:t>
      </w:r>
    </w:p>
    <w:p>
      <w:pPr>
        <w:pStyle w:val="Compact"/>
        <w:numPr>
          <w:ilvl w:val="0"/>
          <w:numId w:val="1002"/>
        </w:numPr>
      </w:pPr>
      <w:r>
        <w:t xml:space="preserve">EUR 100 million allocated for the rehabilitation of damaged Ukrainian schools.</w:t>
      </w:r>
    </w:p>
    <w:p>
      <w:pPr>
        <w:pStyle w:val="Compact"/>
        <w:numPr>
          <w:ilvl w:val="0"/>
          <w:numId w:val="1002"/>
        </w:numPr>
      </w:pPr>
      <w:r>
        <w:t xml:space="preserve">‘Solidarity Lanes’ initiative to allow Ukraine to export grain and other products and import necessary goods.</w:t>
      </w:r>
    </w:p>
    <w:p>
      <w:pPr>
        <w:pStyle w:val="Compact"/>
        <w:numPr>
          <w:ilvl w:val="0"/>
          <w:numId w:val="1002"/>
        </w:numPr>
      </w:pPr>
      <w:r>
        <w:t xml:space="preserve">EUR 600 million from the European Development Fund mobilised to support food security in African, Caribbean, and Pacific countries.</w:t>
      </w:r>
    </w:p>
    <w:p>
      <w:pPr>
        <w:pStyle w:val="Compact"/>
        <w:numPr>
          <w:ilvl w:val="0"/>
          <w:numId w:val="1002"/>
        </w:numPr>
      </w:pPr>
      <w:r>
        <w:t xml:space="preserve">Integration of the United Nations Sustainable Development Goals into the European Semester and better regulation tools, with the EU’s first voluntary review of SDG implementation planned for 2023.</w:t>
      </w:r>
    </w:p>
    <w:p>
      <w:pPr>
        <w:pStyle w:val="Compact"/>
        <w:numPr>
          <w:ilvl w:val="0"/>
          <w:numId w:val="1002"/>
        </w:numPr>
      </w:pPr>
      <w:r>
        <w:t xml:space="preserve">Proposal for a second basket of new own resources for the EU budget, including a single set of tax rules for doing business in Europe (BEFIT).</w:t>
      </w:r>
    </w:p>
    <w:p>
      <w:pPr>
        <w:pStyle w:val="Compact"/>
        <w:numPr>
          <w:ilvl w:val="0"/>
          <w:numId w:val="1002"/>
        </w:numPr>
      </w:pPr>
      <w:r>
        <w:t xml:space="preserve">Citizens’ panels integrated into Commission policymaking for initiatives on food waste, learning mobility, and virtual worlds.</w:t>
      </w:r>
    </w:p>
    <w:p>
      <w:pPr>
        <w:pStyle w:val="Compact"/>
        <w:numPr>
          <w:ilvl w:val="0"/>
          <w:numId w:val="1002"/>
        </w:numPr>
      </w:pPr>
      <w:r>
        <w:t xml:space="preserve">Implementation of the Fit for 55 package and support for agreement on climate and environment measures, including halving pesticide use by 2030 and restoring ecosystems by 2050.</w:t>
      </w:r>
    </w:p>
    <w:p>
      <w:pPr>
        <w:pStyle w:val="Compact"/>
        <w:numPr>
          <w:ilvl w:val="0"/>
          <w:numId w:val="1002"/>
        </w:numPr>
      </w:pPr>
      <w:r>
        <w:t xml:space="preserve">Creation of a European Hydrogen Bank with EUR 3 billion to kick-start a hydrogen market in the EU.</w:t>
      </w:r>
    </w:p>
    <w:p>
      <w:pPr>
        <w:pStyle w:val="Compact"/>
        <w:numPr>
          <w:ilvl w:val="0"/>
          <w:numId w:val="1002"/>
        </w:numPr>
      </w:pPr>
      <w:r>
        <w:t xml:space="preserve">Measures to reduce food and textile waste, including food waste reduction targets and improved textile recycling.</w:t>
      </w:r>
    </w:p>
    <w:p>
      <w:pPr>
        <w:pStyle w:val="Compact"/>
        <w:numPr>
          <w:ilvl w:val="0"/>
          <w:numId w:val="1002"/>
        </w:numPr>
      </w:pPr>
      <w:r>
        <w:t xml:space="preserve">Development of a comprehensive framework for sustainable food systems and overhaul of EU animal welfare laws.</w:t>
      </w:r>
    </w:p>
    <w:p>
      <w:pPr>
        <w:pStyle w:val="Compact"/>
        <w:numPr>
          <w:ilvl w:val="0"/>
          <w:numId w:val="1002"/>
        </w:numPr>
      </w:pPr>
      <w:r>
        <w:t xml:space="preserve">Legislation for new genomic techniques to support resilient and sustainable food systems.</w:t>
      </w:r>
    </w:p>
    <w:p>
      <w:pPr>
        <w:pStyle w:val="Compact"/>
        <w:numPr>
          <w:ilvl w:val="0"/>
          <w:numId w:val="1002"/>
        </w:numPr>
      </w:pPr>
      <w:r>
        <w:t xml:space="preserve">Targeted revision of the REACH legislation to promote sustainable chemicals and protect health and the environment.</w:t>
      </w:r>
    </w:p>
    <w:p>
      <w:pPr>
        <w:pStyle w:val="Compact"/>
        <w:numPr>
          <w:ilvl w:val="0"/>
          <w:numId w:val="1002"/>
        </w:numPr>
      </w:pPr>
      <w:r>
        <w:t xml:space="preserve">Joint efforts with Member States to deliver on Digital Decade targets and proposal of an EU Critical Raw Materials Act.</w:t>
      </w:r>
    </w:p>
    <w:p>
      <w:pPr>
        <w:pStyle w:val="Compact"/>
        <w:numPr>
          <w:ilvl w:val="0"/>
          <w:numId w:val="1002"/>
        </w:numPr>
      </w:pPr>
      <w:r>
        <w:t xml:space="preserve">Proposal of tools for developing open human-centric virtual worlds (metaverses).</w:t>
      </w:r>
    </w:p>
    <w:p>
      <w:pPr>
        <w:pStyle w:val="Compact"/>
        <w:numPr>
          <w:ilvl w:val="0"/>
          <w:numId w:val="1002"/>
        </w:numPr>
      </w:pPr>
      <w:r>
        <w:t xml:space="preserve">Proposal for a common European mobility data space and an EU regulatory framework for hyperloop.</w:t>
      </w:r>
    </w:p>
    <w:p>
      <w:pPr>
        <w:pStyle w:val="Compact"/>
        <w:numPr>
          <w:ilvl w:val="0"/>
          <w:numId w:val="1002"/>
        </w:numPr>
      </w:pPr>
      <w:r>
        <w:t xml:space="preserve">Expansion and upgrading of digital tools and processes in company law to enhance transparency and facilitate cross-border expansion.</w:t>
      </w:r>
    </w:p>
    <w:p>
      <w:pPr>
        <w:pStyle w:val="Compact"/>
        <w:numPr>
          <w:ilvl w:val="0"/>
          <w:numId w:val="1002"/>
        </w:numPr>
      </w:pPr>
      <w:r>
        <w:t xml:space="preserve">SME Relief Package and revision of the late payments Directive to reduce burdens for SMEs.</w:t>
      </w:r>
    </w:p>
    <w:p>
      <w:pPr>
        <w:pStyle w:val="Compact"/>
        <w:numPr>
          <w:ilvl w:val="0"/>
          <w:numId w:val="1002"/>
        </w:numPr>
      </w:pPr>
      <w:r>
        <w:t xml:space="preserve">2023 designated as the European Year of Skills, focusing on reskilling and upskilling the workforce.</w:t>
      </w:r>
    </w:p>
    <w:p>
      <w:pPr>
        <w:pStyle w:val="Compact"/>
        <w:numPr>
          <w:ilvl w:val="0"/>
          <w:numId w:val="1002"/>
        </w:numPr>
      </w:pPr>
      <w:r>
        <w:t xml:space="preserve">Proposal for the digitalisation of social security systems and social safety nets, including work on the European Social Security Pass (ESSPASS).</w:t>
      </w:r>
    </w:p>
    <w:p>
      <w:pPr>
        <w:pStyle w:val="Compact"/>
        <w:numPr>
          <w:ilvl w:val="0"/>
          <w:numId w:val="1002"/>
        </w:numPr>
      </w:pPr>
      <w:r>
        <w:t xml:space="preserve">Proposal for a statute for European cross-border associations to enable full benefit from the single market.</w:t>
      </w:r>
    </w:p>
    <w:p>
      <w:pPr>
        <w:pStyle w:val="Compact"/>
        <w:numPr>
          <w:ilvl w:val="0"/>
          <w:numId w:val="1002"/>
        </w:numPr>
      </w:pPr>
      <w:r>
        <w:t xml:space="preserve">Council Recommendation on developing social economy framework conditions for Member States.</w:t>
      </w:r>
    </w:p>
    <w:p>
      <w:pPr>
        <w:pStyle w:val="Compact"/>
        <w:numPr>
          <w:ilvl w:val="0"/>
          <w:numId w:val="1002"/>
        </w:numPr>
      </w:pPr>
      <w:r>
        <w:t xml:space="preserve">Push to create a new European Sovereignty Fund to support European industry.</w:t>
      </w:r>
    </w:p>
    <w:p>
      <w:pPr>
        <w:pStyle w:val="Compact"/>
        <w:numPr>
          <w:ilvl w:val="0"/>
          <w:numId w:val="1002"/>
        </w:numPr>
      </w:pPr>
      <w:r>
        <w:t xml:space="preserve">Proposal for a digital euro to lay down principles for its potential issuance by the European Central Bank.</w:t>
      </w:r>
    </w:p>
    <w:p>
      <w:pPr>
        <w:pStyle w:val="Compact"/>
        <w:numPr>
          <w:ilvl w:val="0"/>
          <w:numId w:val="1002"/>
        </w:numPr>
      </w:pPr>
      <w:r>
        <w:t xml:space="preserve">Update of the EU sanctions toolbox to include corruption and continued enforcement of sanctions against Russia.</w:t>
      </w:r>
    </w:p>
    <w:p>
      <w:pPr>
        <w:pStyle w:val="Compact"/>
        <w:numPr>
          <w:ilvl w:val="0"/>
          <w:numId w:val="1002"/>
        </w:numPr>
      </w:pPr>
      <w:r>
        <w:t xml:space="preserve">Presentation of the EU space strategy for security and defence and updated EU maritime security strategy.</w:t>
      </w:r>
    </w:p>
    <w:p>
      <w:pPr>
        <w:pStyle w:val="Compact"/>
        <w:numPr>
          <w:ilvl w:val="0"/>
          <w:numId w:val="1002"/>
        </w:numPr>
      </w:pPr>
      <w:r>
        <w:t xml:space="preserve">Dialogue with European Defence Industries to increase production and fill gaps in armament stocks.</w:t>
      </w:r>
    </w:p>
    <w:p>
      <w:pPr>
        <w:pStyle w:val="Compact"/>
        <w:numPr>
          <w:ilvl w:val="0"/>
          <w:numId w:val="1002"/>
        </w:numPr>
      </w:pPr>
      <w:r>
        <w:t xml:space="preserve">Doubling of EU firefighting capacities ahead of the 2023 forest fire season, including the addition of 10 light amphibious aircraft and 3 helicopters.</w:t>
      </w:r>
    </w:p>
    <w:p>
      <w:pPr>
        <w:pStyle w:val="Compact"/>
        <w:numPr>
          <w:ilvl w:val="0"/>
          <w:numId w:val="1002"/>
        </w:numPr>
      </w:pPr>
      <w:r>
        <w:t xml:space="preserve">Implementation of the Beating Cancer Plan and promotion of the HealthyLifestyle4All initiative and Youth Ideas Labs.</w:t>
      </w:r>
    </w:p>
    <w:p>
      <w:pPr>
        <w:pStyle w:val="Compact"/>
        <w:numPr>
          <w:ilvl w:val="0"/>
          <w:numId w:val="1002"/>
        </w:numPr>
      </w:pPr>
      <w:r>
        <w:t xml:space="preserve">Implementation of the Pact on Migration and Asylum and support for the Joint Roadmap on the Pact.</w:t>
      </w:r>
    </w:p>
    <w:p>
      <w:pPr>
        <w:pStyle w:val="Compact"/>
        <w:numPr>
          <w:ilvl w:val="0"/>
          <w:numId w:val="1002"/>
        </w:numPr>
      </w:pPr>
      <w:r>
        <w:t xml:space="preserve">Skills and talent package to facilitate legal migration and recognition of qualifications of third-country nationals.</w:t>
      </w:r>
    </w:p>
    <w:p>
      <w:pPr>
        <w:pStyle w:val="Compact"/>
        <w:numPr>
          <w:ilvl w:val="0"/>
          <w:numId w:val="1002"/>
        </w:numPr>
      </w:pPr>
      <w:r>
        <w:t xml:space="preserve">Cybersecurity Skills Academy initiative.</w:t>
      </w:r>
    </w:p>
    <w:p>
      <w:pPr>
        <w:pStyle w:val="Compact"/>
        <w:numPr>
          <w:ilvl w:val="0"/>
          <w:numId w:val="1002"/>
        </w:numPr>
      </w:pPr>
      <w:r>
        <w:t xml:space="preserve">Revision of the Directive on combatting child sexual abuse and proposal for a Regulation to prevent and combat child sexual abuse.</w:t>
      </w:r>
    </w:p>
    <w:p>
      <w:pPr>
        <w:pStyle w:val="Compact"/>
        <w:numPr>
          <w:ilvl w:val="0"/>
          <w:numId w:val="1002"/>
        </w:numPr>
      </w:pPr>
      <w:r>
        <w:t xml:space="preserve">Implementation of new interoperable systems and proposal for the digitalisation of travel documents to strengthen the Schengen area.</w:t>
      </w:r>
    </w:p>
    <w:p>
      <w:pPr>
        <w:pStyle w:val="Compact"/>
        <w:numPr>
          <w:ilvl w:val="0"/>
          <w:numId w:val="1002"/>
        </w:numPr>
      </w:pPr>
      <w:r>
        <w:t xml:space="preserve">Defence of democracy package to promote free and fair elections, fight disinformation, and support media freedom and pluralism.</w:t>
      </w:r>
    </w:p>
    <w:p>
      <w:pPr>
        <w:pStyle w:val="Compact"/>
        <w:numPr>
          <w:ilvl w:val="0"/>
          <w:numId w:val="1002"/>
        </w:numPr>
      </w:pPr>
      <w:r>
        <w:t xml:space="preserve">Proposal for a European disability card to ensure mutual recognition of disability status across Member States.</w:t>
      </w:r>
    </w:p>
    <w:p>
      <w:pPr>
        <w:pStyle w:val="Compact"/>
        <w:numPr>
          <w:ilvl w:val="0"/>
          <w:numId w:val="1002"/>
        </w:numPr>
      </w:pPr>
      <w:r>
        <w:t xml:space="preserve">Implementation of the EU anti-racism action plan 2020-2025.</w:t>
      </w:r>
    </w:p>
    <w:p>
      <w:pPr>
        <w:pStyle w:val="Compact"/>
        <w:numPr>
          <w:ilvl w:val="0"/>
          <w:numId w:val="1002"/>
        </w:numPr>
      </w:pPr>
      <w:r>
        <w:t xml:space="preserve">Amendments to rules governing cooperation between consumer protection authorities to deter unfair business practices.</w:t>
      </w:r>
    </w:p>
    <w:p>
      <w:pPr>
        <w:pStyle w:val="Compact"/>
        <w:numPr>
          <w:ilvl w:val="0"/>
          <w:numId w:val="1002"/>
        </w:numPr>
      </w:pPr>
      <w:r>
        <w:t xml:space="preserve">Harmonisation of national procedural aspects for data protection authorities to improve enforcement of the General Data Protection Regulation.</w:t>
      </w:r>
    </w:p>
    <w:p>
      <w:pPr>
        <w:pStyle w:val="Compact"/>
        <w:numPr>
          <w:ilvl w:val="0"/>
          <w:numId w:val="1002"/>
        </w:numPr>
      </w:pPr>
      <w:r>
        <w:t xml:space="preserve">Continued implementation of the ‘one in, one out’ approach and the regulatory fitness and performance (REFIT) programme to reduce red tape and unnecessary costs.</w:t>
      </w:r>
    </w:p>
    <w:p>
      <w:pPr>
        <w:pStyle w:val="Compact"/>
        <w:numPr>
          <w:ilvl w:val="0"/>
          <w:numId w:val="1002"/>
        </w:numPr>
      </w:pPr>
      <w:r>
        <w:t xml:space="preserve">Engagement with Member States to support correct application and enforcement of EU law.</w:t>
      </w:r>
    </w:p>
    <w:bookmarkEnd w:id="24"/>
    <w:bookmarkStart w:id="25" w:name="commitments"/>
    <w:p>
      <w:pPr>
        <w:pStyle w:val="Heading2"/>
      </w:pPr>
      <w:r>
        <w:t xml:space="preserve">Commitments</w:t>
      </w:r>
    </w:p>
    <w:p>
      <w:pPr>
        <w:pStyle w:val="Compact"/>
        <w:numPr>
          <w:ilvl w:val="0"/>
          <w:numId w:val="1003"/>
        </w:numPr>
      </w:pPr>
      <w:r>
        <w:t xml:space="preserve">The EU and its Member States mobilised over EUR 19 billion to strengthen Ukraine’s economic, social and financial resilience and an additional EUR 3.1 billion of military support under the European Peace Facility (as of September 2022).</w:t>
      </w:r>
    </w:p>
    <w:p>
      <w:pPr>
        <w:pStyle w:val="Compact"/>
        <w:numPr>
          <w:ilvl w:val="0"/>
          <w:numId w:val="1003"/>
        </w:numPr>
      </w:pPr>
      <w:r>
        <w:t xml:space="preserve">The EU will provide EUR 100 million for the rehabilitation of damaged Ukrainian schools.</w:t>
      </w:r>
    </w:p>
    <w:p>
      <w:pPr>
        <w:pStyle w:val="Compact"/>
        <w:numPr>
          <w:ilvl w:val="0"/>
          <w:numId w:val="1003"/>
        </w:numPr>
      </w:pPr>
      <w:r>
        <w:t xml:space="preserve">The EU has mobilised EUR 600 million from the European Development Fund to increase support to food security to African, Caribbean and Pacific countries.</w:t>
      </w:r>
    </w:p>
    <w:p>
      <w:pPr>
        <w:pStyle w:val="Compact"/>
        <w:numPr>
          <w:ilvl w:val="0"/>
          <w:numId w:val="1003"/>
        </w:numPr>
      </w:pPr>
      <w:r>
        <w:t xml:space="preserve">The Commission adopted a proposal to halve pesticide use by 2030.</w:t>
      </w:r>
    </w:p>
    <w:p>
      <w:pPr>
        <w:pStyle w:val="Compact"/>
        <w:numPr>
          <w:ilvl w:val="0"/>
          <w:numId w:val="1003"/>
        </w:numPr>
      </w:pPr>
      <w:r>
        <w:t xml:space="preserve">The Commission adopted a proposal to restore Europe’s damaged ecosystems by 2050.</w:t>
      </w:r>
    </w:p>
    <w:p>
      <w:pPr>
        <w:pStyle w:val="Compact"/>
        <w:numPr>
          <w:ilvl w:val="0"/>
          <w:numId w:val="1003"/>
        </w:numPr>
      </w:pPr>
      <w:r>
        <w:t xml:space="preserve">The Commission will invest EUR 3 billion into a new European Hydrogen Bank to kick-start a hydrogen market in the EU.</w:t>
      </w:r>
    </w:p>
    <w:p>
      <w:pPr>
        <w:pStyle w:val="Compact"/>
        <w:numPr>
          <w:ilvl w:val="0"/>
          <w:numId w:val="1003"/>
        </w:numPr>
      </w:pPr>
      <w:r>
        <w:t xml:space="preserve">The Commission will adopt food waste reduction targets (no specific percentage or deadline given in the text).</w:t>
      </w:r>
    </w:p>
    <w:p>
      <w:pPr>
        <w:pStyle w:val="Compact"/>
        <w:numPr>
          <w:ilvl w:val="0"/>
          <w:numId w:val="1003"/>
        </w:numPr>
      </w:pPr>
      <w:r>
        <w:t xml:space="preserve">The Commission will double its firefighting capacities ahead of the 2023 forest fire season and add 10 light amphibious aircrafts and 3 helicopters to its fleet.</w:t>
      </w:r>
    </w:p>
    <w:p>
      <w:pPr>
        <w:pStyle w:val="Compact"/>
        <w:numPr>
          <w:ilvl w:val="0"/>
          <w:numId w:val="1003"/>
        </w:numPr>
      </w:pPr>
      <w:r>
        <w:t xml:space="preserve">The Commission will propose a comprehensive reform of the EU electricity market in early 2023.</w:t>
      </w:r>
    </w:p>
    <w:p>
      <w:pPr>
        <w:pStyle w:val="Compact"/>
        <w:numPr>
          <w:ilvl w:val="0"/>
          <w:numId w:val="1003"/>
        </w:numPr>
      </w:pPr>
      <w:r>
        <w:t xml:space="preserve">The Commission will carry out a mid-term review of the multiannual financial framework (MFF) 2021-2027 in 2023.</w:t>
      </w:r>
    </w:p>
    <w:p>
      <w:pPr>
        <w:pStyle w:val="Compact"/>
        <w:numPr>
          <w:ilvl w:val="0"/>
          <w:numId w:val="1003"/>
        </w:numPr>
      </w:pPr>
      <w:r>
        <w:t xml:space="preserve">The Commission will present a proposal for a second basket of new own resources for the EU budget in 2023.</w:t>
      </w:r>
    </w:p>
    <w:p>
      <w:pPr>
        <w:pStyle w:val="Compact"/>
        <w:numPr>
          <w:ilvl w:val="0"/>
          <w:numId w:val="1003"/>
        </w:numPr>
      </w:pPr>
      <w:r>
        <w:t xml:space="preserve">The Commission will propose a targeted revision of the legislation on the registration, evaluation and authorisation of chemicals (REACH) in 2023.</w:t>
      </w:r>
    </w:p>
    <w:p>
      <w:pPr>
        <w:pStyle w:val="Compact"/>
        <w:numPr>
          <w:ilvl w:val="0"/>
          <w:numId w:val="1003"/>
        </w:numPr>
      </w:pPr>
      <w:r>
        <w:t xml:space="preserve">The Commission will propose a new Agenda for Latin America and the Caribbean.</w:t>
      </w:r>
    </w:p>
    <w:p>
      <w:pPr>
        <w:pStyle w:val="Compact"/>
        <w:numPr>
          <w:ilvl w:val="0"/>
          <w:numId w:val="1003"/>
        </w:numPr>
      </w:pPr>
      <w:r>
        <w:t xml:space="preserve">The Commission will propose a revision of the Directive on combatting child sexual abuse.</w:t>
      </w:r>
    </w:p>
    <w:p>
      <w:pPr>
        <w:pStyle w:val="Compact"/>
        <w:numPr>
          <w:ilvl w:val="0"/>
          <w:numId w:val="1003"/>
        </w:numPr>
      </w:pPr>
      <w:r>
        <w:t xml:space="preserve">The Commission will propose amendments to the rules governing cooperation between consumer protection authorities.</w:t>
      </w:r>
    </w:p>
    <w:p>
      <w:pPr>
        <w:pStyle w:val="Compact"/>
        <w:numPr>
          <w:ilvl w:val="0"/>
          <w:numId w:val="1003"/>
        </w:numPr>
      </w:pPr>
      <w:r>
        <w:t xml:space="preserve">The Commission will propose to harmonise some national procedural aspects of the work of national data protection authorities.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2025-06-11T18:09:58Z</dcterms:created>
  <dcterms:modified xsi:type="dcterms:W3CDTF">2025-06-11T18:09:58Z</dcterms:modified>
</cp:coreProperties>
</file>

<file path=docProps/custom.xml><?xml version="1.0" encoding="utf-8"?>
<Properties xmlns="http://schemas.openxmlformats.org/officeDocument/2006/custom-properties" xmlns:vt="http://schemas.openxmlformats.org/officeDocument/2006/docPropsVTypes"/>
</file>