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71ab3bd776be3b210755e5021ab91924bde155"/>
    <w:p>
      <w:pPr>
        <w:pStyle w:val="Heading1"/>
      </w:pPr>
      <w:r>
        <w:t xml:space="preserve">Belize and European Union Partnership Dialogue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Actors</w:t>
            </w:r>
          </w:p>
        </w:tc>
        <w:tc>
          <w:tcPr/>
          <w:p>
            <w:pPr>
              <w:pStyle w:val="Compact"/>
            </w:pPr>
            <w:r>
              <w:t xml:space="preserve">Belize; European Union</w:t>
            </w:r>
          </w:p>
        </w:tc>
      </w:tr>
    </w:tbl>
    <w:bookmarkEnd w:id="22"/>
    <w:bookmarkStart w:id="23" w:name="main-themes"/>
    <w:p>
      <w:pPr>
        <w:pStyle w:val="Heading2"/>
      </w:pPr>
      <w:r>
        <w:t xml:space="preserve">Main Themes</w:t>
      </w:r>
    </w:p>
    <w:p>
      <w:pPr>
        <w:pStyle w:val="FirstParagraph"/>
      </w:pPr>
      <w:r>
        <w:t xml:space="preserve">No themes identified.</w:t>
      </w:r>
    </w:p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2025-06-19T15:52:31Z</dcterms:created>
  <dcterms:modified xsi:type="dcterms:W3CDTF">2025-06-19T15:52:31Z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