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b722b5daa0222b061b0f4fa79d22e9e8044dba"/>
    <w:p>
      <w:pPr>
        <w:pStyle w:val="Heading1"/>
      </w:pPr>
      <w:r>
        <w:t xml:space="preserve">3rd EU-CELAC Summit 2023: Strengthening Bi-Regional Partnership and Cooperation</w:t>
      </w:r>
    </w:p>
    <w:p>
      <w:pPr>
        <w:pStyle w:val="FirstParagraph"/>
      </w:pPr>
      <w:r>
        <w:rPr>
          <w:b/>
          <w:bCs/>
        </w:rPr>
        <w:t xml:space="preserve">Date</w:t>
      </w:r>
      <w:r>
        <w:t xml:space="preserve">: 2023-07-17</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3rd EU-CELAC Summit held in Brussels on 17-18 July 2023 marked a renewed commitment to strengthen the bi-regional partnership between the European Union and the Community of Latin American and Caribbean States. Leaders agreed to hold summits biennially, with the next in 2025 in the CELAC region, and to establish a permanent coordination mechanism for continuity. The summit emphasized multilateralism, respect for sovereignty, and international law, condemning violations such as the war in Ukraine. Key priorities included addressing global crises—food insecurity, inflation, poverty, climate change, and biodiversity loss—and promoting sustainable, inclusive, green, and digital transitions. The declaration highlighted cooperation on trade, digital transformation, health, security, and climate finance, including operationalizing a Loss and Damage Fund. Support for regional integration, human rights, gender equality, and peace processes in Colombia, Venezuela, and Haiti was reaffirmed. The summit underscored the importance of joint efforts to achieve the Sustainable Development Goals and enhance global governance.</w:t>
      </w:r>
    </w:p>
    <w:bookmarkEnd w:id="20"/>
    <w:bookmarkStart w:id="21" w:name="characteristics"/>
    <w:p>
      <w:pPr>
        <w:pStyle w:val="Heading2"/>
      </w:pPr>
      <w:r>
        <w:t xml:space="preserve">Characteristics</w:t>
      </w:r>
    </w:p>
    <w:p>
      <w:pPr>
        <w:pStyle w:val="Compact"/>
        <w:numPr>
          <w:ilvl w:val="0"/>
          <w:numId w:val="1001"/>
        </w:numPr>
      </w:pPr>
      <w:r>
        <w:t xml:space="preserve">The 3rd EU-CELAC Summit (July 2023) marked renewed high-level engagement after eight years, emphasizing bi-regional strategic partnership and regular summits every two years.</w:t>
      </w:r>
    </w:p>
    <w:p>
      <w:pPr>
        <w:pStyle w:val="Compact"/>
        <w:numPr>
          <w:ilvl w:val="0"/>
          <w:numId w:val="1001"/>
        </w:numPr>
      </w:pPr>
      <w:r>
        <w:t xml:space="preserve">Both regions committed to multilateralism, peace, respect for sovereignty, international law, and addressing global challenges like climate change, poverty, and inequality.</w:t>
      </w:r>
    </w:p>
    <w:p>
      <w:pPr>
        <w:pStyle w:val="Compact"/>
        <w:numPr>
          <w:ilvl w:val="0"/>
          <w:numId w:val="1001"/>
        </w:numPr>
      </w:pPr>
      <w:r>
        <w:t xml:space="preserve">The Summit highlighted cooperation on trade, digital transformation, health, climate finance, biodiversity, and sustainable development aligned with the UN 2030 Agenda.</w:t>
      </w:r>
    </w:p>
    <w:p>
      <w:pPr>
        <w:pStyle w:val="Compact"/>
        <w:numPr>
          <w:ilvl w:val="0"/>
          <w:numId w:val="1001"/>
        </w:numPr>
      </w:pPr>
      <w:r>
        <w:t xml:space="preserve">Strong focus on human rights, gender equality, indigenous rights, and combating discrimination, with acknowledgment of historical injustices like the trans-Atlantic slave trade.</w:t>
      </w:r>
    </w:p>
    <w:p>
      <w:pPr>
        <w:pStyle w:val="Compact"/>
        <w:numPr>
          <w:ilvl w:val="0"/>
          <w:numId w:val="1001"/>
        </w:numPr>
      </w:pPr>
      <w:r>
        <w:t xml:space="preserve">Support was expressed for Ukraine’s sovereignty amid the war, and calls were made for peaceful conflict resolution, including in Haiti, Colombia, and Venezuela.</w:t>
      </w:r>
    </w:p>
    <w:p>
      <w:pPr>
        <w:pStyle w:val="Compact"/>
        <w:numPr>
          <w:ilvl w:val="0"/>
          <w:numId w:val="1001"/>
        </w:numPr>
      </w:pPr>
      <w:r>
        <w:t xml:space="preserve">Institutional mechanisms were established for ongoing coordination, including a permanent EU-CELAC coordination body and enhanced parliamentary diplomacy.</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Community of Latin American and Caribbean States; Southern Common Market; European Union; European Council; European Commission; Euro-Latin American Parliamentary Assembly; EU Member States; United Nations</w:t>
            </w:r>
          </w:p>
        </w:tc>
      </w:tr>
      <w:tr>
        <w:tc>
          <w:tcPr/>
          <w:p>
            <w:pPr>
              <w:pStyle w:val="Compact"/>
            </w:pPr>
            <w:r>
              <w:t xml:space="preserve">Research and Innovation Actors</w:t>
            </w:r>
          </w:p>
        </w:tc>
        <w:tc>
          <w:tcPr/>
          <w:p>
            <w:pPr>
              <w:pStyle w:val="Compact"/>
            </w:pPr>
            <w:r>
              <w:t xml:space="preserve">EU-LAC Foundation</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EU-CELAC Digital Partnership; Bi-regional Cooperation; Multilateralism</w:t>
            </w:r>
          </w:p>
        </w:tc>
      </w:tr>
      <w:tr>
        <w:tc>
          <w:tcPr/>
          <w:p>
            <w:pPr>
              <w:pStyle w:val="Compact"/>
            </w:pPr>
            <w:r>
              <w:t xml:space="preserve">Digital Transformation &amp; Strategy</w:t>
            </w:r>
          </w:p>
        </w:tc>
        <w:tc>
          <w:tcPr/>
          <w:p>
            <w:pPr>
              <w:pStyle w:val="Compact"/>
            </w:pPr>
            <w:r>
              <w:t xml:space="preserve">Digital Ecosystem; Digital Platforms; Digital Acceleration</w:t>
            </w:r>
          </w:p>
        </w:tc>
      </w:tr>
      <w:tr>
        <w:tc>
          <w:tcPr/>
          <w:p>
            <w:pPr>
              <w:pStyle w:val="Compact"/>
            </w:pPr>
            <w:r>
              <w:t xml:space="preserve">Inclusion &amp; Social Development</w:t>
            </w:r>
          </w:p>
        </w:tc>
        <w:tc>
          <w:tcPr/>
          <w:p>
            <w:pPr>
              <w:pStyle w:val="Compact"/>
            </w:pPr>
            <w:r>
              <w:t xml:space="preserve">Social Cohesion</w:t>
            </w:r>
          </w:p>
        </w:tc>
      </w:tr>
    </w:tbl>
    <w:bookmarkEnd w:id="23"/>
    <w:bookmarkStart w:id="24" w:name="practical-applications"/>
    <w:p>
      <w:pPr>
        <w:pStyle w:val="Heading2"/>
      </w:pPr>
      <w:r>
        <w:t xml:space="preserve">Practical Applications</w:t>
      </w:r>
    </w:p>
    <w:p>
      <w:pPr>
        <w:pStyle w:val="Compact"/>
        <w:numPr>
          <w:ilvl w:val="0"/>
          <w:numId w:val="1002"/>
        </w:numPr>
      </w:pPr>
      <w:r>
        <w:t xml:space="preserve">Agreement to hold EU-CELAC summits every two years, with the next summit scheduled in the CELAC region in 2025.</w:t>
      </w:r>
    </w:p>
    <w:p>
      <w:pPr>
        <w:pStyle w:val="Compact"/>
        <w:numPr>
          <w:ilvl w:val="0"/>
          <w:numId w:val="1002"/>
        </w:numPr>
      </w:pPr>
      <w:r>
        <w:t xml:space="preserve">Establishment of a permanent coordination mechanism between the EU and CELAC to ensure continuity and follow-up between meetings, including preparation and organisation of EU-CELAC Meetings of Foreign Affairs Ministers.</w:t>
      </w:r>
    </w:p>
    <w:p>
      <w:pPr>
        <w:pStyle w:val="Compact"/>
        <w:numPr>
          <w:ilvl w:val="0"/>
          <w:numId w:val="1002"/>
        </w:numPr>
      </w:pPr>
      <w:r>
        <w:t xml:space="preserve">Support and reinforcement of regional integration processes through existing Association Agreements between the EU and Central America, Mexico, Chile, and Mercosur.</w:t>
      </w:r>
    </w:p>
    <w:p>
      <w:pPr>
        <w:pStyle w:val="Compact"/>
        <w:numPr>
          <w:ilvl w:val="0"/>
          <w:numId w:val="1002"/>
        </w:numPr>
      </w:pPr>
      <w:r>
        <w:t xml:space="preserve">Promotion of UN initiatives on debt restructuring, including debt cancellation, forgiveness, exchange, and restructuring strategies linked to investments in education, health, industrial reactivation, social cohesion, environmental conservation, and business strengthening.</w:t>
      </w:r>
    </w:p>
    <w:p>
      <w:pPr>
        <w:pStyle w:val="Compact"/>
        <w:numPr>
          <w:ilvl w:val="0"/>
          <w:numId w:val="1002"/>
        </w:numPr>
      </w:pPr>
      <w:r>
        <w:t xml:space="preserve">Call for the establishment of a dedicated funding mechanism under the UN Framework Convention on Climate Change (UNFCCC) to address losses and damages caused by climate change.</w:t>
      </w:r>
    </w:p>
    <w:p>
      <w:pPr>
        <w:pStyle w:val="Compact"/>
        <w:numPr>
          <w:ilvl w:val="0"/>
          <w:numId w:val="1002"/>
        </w:numPr>
      </w:pPr>
      <w:r>
        <w:t xml:space="preserve">Support for the EU-Caribbean Leaders’ meeting to strengthen institutional engagement between the EU and the Caribbean.</w:t>
      </w:r>
    </w:p>
    <w:p>
      <w:pPr>
        <w:pStyle w:val="Compact"/>
        <w:numPr>
          <w:ilvl w:val="0"/>
          <w:numId w:val="1002"/>
        </w:numPr>
      </w:pPr>
      <w:r>
        <w:t xml:space="preserve">Implementation of the partnership agreement between the Organisation of African, Caribbean and Pacific States and the EU, including the regional protocol to strengthen Caribbean-EU relations.</w:t>
      </w:r>
    </w:p>
    <w:p>
      <w:pPr>
        <w:pStyle w:val="Compact"/>
        <w:numPr>
          <w:ilvl w:val="0"/>
          <w:numId w:val="1002"/>
        </w:numPr>
      </w:pPr>
      <w:r>
        <w:t xml:space="preserve">Commitment to the EU-LAC Global Gateway Investment Agenda to mobilise private capital and public funding for sustainable development projects including digital transformation, education, health infrastructure, energy production, environmental initiatives, raw materials, and local value chains.</w:t>
      </w:r>
    </w:p>
    <w:p>
      <w:pPr>
        <w:pStyle w:val="Compact"/>
        <w:numPr>
          <w:ilvl w:val="0"/>
          <w:numId w:val="1002"/>
        </w:numPr>
      </w:pPr>
      <w:r>
        <w:t xml:space="preserve">Continuation of the EU-CELAC Joint Initiative on Research and Innovation.</w:t>
      </w:r>
    </w:p>
    <w:p>
      <w:pPr>
        <w:pStyle w:val="Compact"/>
        <w:numPr>
          <w:ilvl w:val="0"/>
          <w:numId w:val="1002"/>
        </w:numPr>
      </w:pPr>
      <w:r>
        <w:t xml:space="preserve">Advancement of the bi-regional partnership on local manufacturing of vaccines, medicines, and health technologies, supporting the CELAC Plan on Health Self-Sufficiency.</w:t>
      </w:r>
    </w:p>
    <w:p>
      <w:pPr>
        <w:pStyle w:val="Compact"/>
        <w:numPr>
          <w:ilvl w:val="0"/>
          <w:numId w:val="1002"/>
        </w:numPr>
      </w:pPr>
      <w:r>
        <w:t xml:space="preserve">Support for ongoing discussions on a new legally binding instrument on pandemic prevention, preparedness, and response within the WHO framework, aiming for agreement by May 2024.</w:t>
      </w:r>
    </w:p>
    <w:p>
      <w:pPr>
        <w:pStyle w:val="Compact"/>
        <w:numPr>
          <w:ilvl w:val="0"/>
          <w:numId w:val="1002"/>
        </w:numPr>
      </w:pPr>
      <w:r>
        <w:t xml:space="preserve">Strengthening cooperation on citizen security and social justice through initiatives like the EU-LAC Partnership on Justice and Security, combatting organised crime, corruption, money laundering, illicit drug production and trafficking, and trafficking of firearms and human beings.</w:t>
      </w:r>
    </w:p>
    <w:p>
      <w:pPr>
        <w:pStyle w:val="Compact"/>
        <w:numPr>
          <w:ilvl w:val="0"/>
          <w:numId w:val="1002"/>
        </w:numPr>
      </w:pPr>
      <w:r>
        <w:t xml:space="preserve">Continuation of the EU-CELAC Coordination and Cooperation Mechanism on Drugs.</w:t>
      </w:r>
    </w:p>
    <w:p>
      <w:pPr>
        <w:pStyle w:val="Compact"/>
        <w:numPr>
          <w:ilvl w:val="0"/>
          <w:numId w:val="1002"/>
        </w:numPr>
      </w:pPr>
      <w:r>
        <w:t xml:space="preserve">Support for the implementation of the United Nations Convention Against Corruption (UNCAC) and follow-up on the UNGASS 2021 Political Declaration.</w:t>
      </w:r>
    </w:p>
    <w:p>
      <w:pPr>
        <w:pStyle w:val="Compact"/>
        <w:numPr>
          <w:ilvl w:val="0"/>
          <w:numId w:val="1002"/>
        </w:numPr>
      </w:pPr>
      <w:r>
        <w:t xml:space="preserve">Promotion of integrated water resources management and international cooperation on water sustainability, aligned with the UN Water Conference and appointment of a Special Envoy for Water.</w:t>
      </w:r>
    </w:p>
    <w:p>
      <w:pPr>
        <w:pStyle w:val="Compact"/>
        <w:numPr>
          <w:ilvl w:val="0"/>
          <w:numId w:val="1002"/>
        </w:numPr>
      </w:pPr>
      <w:r>
        <w:t xml:space="preserve">Commitment to the full implementation of the Paris Agreement, the Convention on Biological Diversity, the Kunming-Montreal Global Biodiversity Framework, the UN Convention to Combat Desertification, and swift ratification and implementation of the High Seas Treaty.</w:t>
      </w:r>
    </w:p>
    <w:p>
      <w:pPr>
        <w:pStyle w:val="Compact"/>
        <w:numPr>
          <w:ilvl w:val="0"/>
          <w:numId w:val="1002"/>
        </w:numPr>
      </w:pPr>
      <w:r>
        <w:t xml:space="preserve">Support for actions and commitments for ocean protection, including participation in the 2024 ‘Our Ocean Conference’ and the third UN Ocean Conference in 2025.</w:t>
      </w:r>
    </w:p>
    <w:p>
      <w:pPr>
        <w:pStyle w:val="Compact"/>
        <w:numPr>
          <w:ilvl w:val="0"/>
          <w:numId w:val="1002"/>
        </w:numPr>
      </w:pPr>
      <w:r>
        <w:t xml:space="preserve">Recognition of the sargassum issue in the Greater Caribbean region and efforts to present it as a regional emergency to the UN General Assembly.</w:t>
      </w:r>
    </w:p>
    <w:p>
      <w:pPr>
        <w:pStyle w:val="Compact"/>
        <w:numPr>
          <w:ilvl w:val="0"/>
          <w:numId w:val="1002"/>
        </w:numPr>
      </w:pPr>
      <w:r>
        <w:t xml:space="preserve">Commitment to mobilise USD 100 billion per year for climate finance to support developing countries and to double adaptation finance by 2025.</w:t>
      </w:r>
    </w:p>
    <w:p>
      <w:pPr>
        <w:pStyle w:val="Compact"/>
        <w:numPr>
          <w:ilvl w:val="0"/>
          <w:numId w:val="1002"/>
        </w:numPr>
      </w:pPr>
      <w:r>
        <w:t xml:space="preserve">Promotion of renewable energy deployment and energy efficiency acceleration at COP 28.</w:t>
      </w:r>
    </w:p>
    <w:p>
      <w:pPr>
        <w:pStyle w:val="Compact"/>
        <w:numPr>
          <w:ilvl w:val="0"/>
          <w:numId w:val="1002"/>
        </w:numPr>
      </w:pPr>
      <w:r>
        <w:t xml:space="preserve">Support for the establishment and operationalisation of funding arrangements for Loss and Damage related to climate change.</w:t>
      </w:r>
    </w:p>
    <w:p>
      <w:pPr>
        <w:pStyle w:val="Compact"/>
        <w:numPr>
          <w:ilvl w:val="0"/>
          <w:numId w:val="1002"/>
        </w:numPr>
      </w:pPr>
      <w:r>
        <w:t xml:space="preserve">Encouragement of open and fair trade based on international rules, including full implementation and ratification of Association and Trade Agreements between the EU and CELAC partners, with ongoing processes for modernised agreements with Chile and Mexico and work with Mercosur.</w:t>
      </w:r>
    </w:p>
    <w:p>
      <w:pPr>
        <w:pStyle w:val="Compact"/>
        <w:numPr>
          <w:ilvl w:val="0"/>
          <w:numId w:val="1002"/>
        </w:numPr>
      </w:pPr>
      <w:r>
        <w:t xml:space="preserve">Support for parliamentary diplomacy through the Euro-Latin American Parliamentary Assembly (EuroLat) and the ACP-EU Joint Parliamentary Assembly.</w:t>
      </w:r>
    </w:p>
    <w:p>
      <w:pPr>
        <w:pStyle w:val="Compact"/>
        <w:numPr>
          <w:ilvl w:val="0"/>
          <w:numId w:val="1002"/>
        </w:numPr>
      </w:pPr>
      <w:r>
        <w:t xml:space="preserve">Strengthening the role of the EU-LAC International Foundation in the bi-regional dialogue.</w:t>
      </w:r>
    </w:p>
    <w:p>
      <w:pPr>
        <w:pStyle w:val="Compact"/>
        <w:numPr>
          <w:ilvl w:val="0"/>
          <w:numId w:val="1002"/>
        </w:numPr>
      </w:pPr>
      <w:r>
        <w:t xml:space="preserve">Promotion of better and proactive information to citizens and stakeholders about the benefits of the CELAC-EU partnership.</w:t>
      </w:r>
    </w:p>
    <w:p>
      <w:pPr>
        <w:pStyle w:val="Compact"/>
        <w:numPr>
          <w:ilvl w:val="0"/>
          <w:numId w:val="1002"/>
        </w:numPr>
      </w:pPr>
      <w:r>
        <w:t xml:space="preserve">Support for Haitian-led efforts to resolve the crisis in Haiti through sub-regional, regional, and international cooperation.</w:t>
      </w:r>
    </w:p>
    <w:p>
      <w:pPr>
        <w:pStyle w:val="Compact"/>
        <w:numPr>
          <w:ilvl w:val="0"/>
          <w:numId w:val="1002"/>
        </w:numPr>
      </w:pPr>
      <w:r>
        <w:t xml:space="preserve">Full support for the peace process in Colombia, including dialogues with armed groups and implementation of the 2016 Peace Agreement.</w:t>
      </w:r>
    </w:p>
    <w:p>
      <w:pPr>
        <w:pStyle w:val="Compact"/>
        <w:numPr>
          <w:ilvl w:val="0"/>
          <w:numId w:val="1002"/>
        </w:numPr>
      </w:pPr>
      <w:r>
        <w:t xml:space="preserve">Encouragement of constructive dialogue in the Venezuelan-led negotiations in Mexico City.</w:t>
      </w:r>
    </w:p>
    <w:bookmarkEnd w:id="24"/>
    <w:bookmarkStart w:id="25" w:name="commitments"/>
    <w:p>
      <w:pPr>
        <w:pStyle w:val="Heading2"/>
      </w:pPr>
      <w:r>
        <w:t xml:space="preserve">Commitments</w:t>
      </w:r>
    </w:p>
    <w:p>
      <w:pPr>
        <w:pStyle w:val="Compact"/>
        <w:numPr>
          <w:ilvl w:val="0"/>
          <w:numId w:val="1003"/>
        </w:numPr>
      </w:pPr>
      <w:r>
        <w:t xml:space="preserve">Hold EU-CELAC summits every two years, with the next summit taking place in the CELAC region in 2025.</w:t>
      </w:r>
    </w:p>
    <w:p>
      <w:pPr>
        <w:pStyle w:val="Compact"/>
        <w:numPr>
          <w:ilvl w:val="0"/>
          <w:numId w:val="1003"/>
        </w:numPr>
      </w:pPr>
      <w:r>
        <w:t xml:space="preserve">Double adaptation finance for climate change by 2025.</w:t>
      </w:r>
    </w:p>
    <w:p>
      <w:pPr>
        <w:pStyle w:val="Compact"/>
        <w:numPr>
          <w:ilvl w:val="0"/>
          <w:numId w:val="1003"/>
        </w:numPr>
      </w:pPr>
      <w:r>
        <w:t xml:space="preserve">Mobilise promptly USD 100 billion per year for climate finance to support developing countries.</w:t>
      </w:r>
    </w:p>
    <w:p>
      <w:pPr>
        <w:pStyle w:val="Compact"/>
        <w:numPr>
          <w:ilvl w:val="0"/>
          <w:numId w:val="1003"/>
        </w:numPr>
      </w:pPr>
      <w:r>
        <w:t xml:space="preserve">Aim to agree on a new legally binding instrument on pandemic prevention, preparedness, and response within the World Health Organisation framework by May 2024.</w:t>
      </w:r>
    </w:p>
    <w:p>
      <w:pPr>
        <w:pStyle w:val="Compact"/>
        <w:numPr>
          <w:ilvl w:val="0"/>
          <w:numId w:val="1003"/>
        </w:numPr>
      </w:pPr>
      <w:r>
        <w:t xml:space="preserve">Promote acceleration of renewable energy deployment and increase energy efficiency at COP 28.</w:t>
      </w:r>
    </w:p>
    <w:p>
      <w:pPr>
        <w:pStyle w:val="Compact"/>
        <w:numPr>
          <w:ilvl w:val="0"/>
          <w:numId w:val="1003"/>
        </w:numPr>
      </w:pPr>
      <w:r>
        <w:t xml:space="preserve">Support the full operationalisation of funding arrangements for Loss and Damage, including a Fund (no specific deadline given).</w:t>
      </w:r>
    </w:p>
    <w:p>
      <w:pPr>
        <w:pStyle w:val="Compact"/>
        <w:numPr>
          <w:ilvl w:val="0"/>
          <w:numId w:val="1003"/>
        </w:numPr>
      </w:pPr>
      <w:r>
        <w:t xml:space="preserve">Encourage actions and commitments for ocean protection in view of the 2024 ‘Our Ocean Conference’ in Greece and the third UN Ocean Conference in June 2025.</w:t>
      </w:r>
    </w:p>
    <w:p>
      <w:pPr>
        <w:pStyle w:val="Compact"/>
        <w:numPr>
          <w:ilvl w:val="0"/>
          <w:numId w:val="1003"/>
        </w:numPr>
      </w:pPr>
      <w:r>
        <w:t xml:space="preserve">Establish a consultative coordination instance between the EU and CELAC to ensure continuity and follow-up between high-level meetings and prepare EU-CELAC Meetings of Foreign Affairs Ministers (no specific deadline given).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2025-06-19T16:08:23Z</dcterms:created>
  <dcterms:modified xsi:type="dcterms:W3CDTF">2025-06-19T16:08:23Z</dcterms:modified>
</cp:coreProperties>
</file>

<file path=docProps/custom.xml><?xml version="1.0" encoding="utf-8"?>
<Properties xmlns="http://schemas.openxmlformats.org/officeDocument/2006/custom-properties" xmlns:vt="http://schemas.openxmlformats.org/officeDocument/2006/docPropsVTypes"/>
</file>