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0e9281a4e56f188bd4029bc6bc38c1f22b3ee46"/>
    <w:p>
      <w:pPr>
        <w:pStyle w:val="Heading1"/>
      </w:pPr>
      <w:r>
        <w:t xml:space="preserve">EU and Latin America &amp; Caribbean Enhance Cybersecurity Cooperation Through EU-LAC Digital Alliance Dialogue 2024</w:t>
      </w:r>
    </w:p>
    <w:p>
      <w:pPr>
        <w:pStyle w:val="FirstParagraph"/>
      </w:pPr>
      <w:r>
        <w:rPr>
          <w:b/>
          <w:bCs/>
        </w:rPr>
        <w:t xml:space="preserve">Date</w:t>
      </w:r>
      <w:r>
        <w:t xml:space="preserve">: 2024-02-14</w:t>
      </w:r>
    </w:p>
    <w:p>
      <w:pPr>
        <w:pStyle w:val="BodyText"/>
      </w:pPr>
      <w:r>
        <w:rPr>
          <w:b/>
          <w:bCs/>
        </w:rPr>
        <w:t xml:space="preserve">Location</w:t>
      </w:r>
      <w:r>
        <w:t xml:space="preserve">: Santo Domingo, Dominican Republic</w:t>
      </w:r>
    </w:p>
    <w:bookmarkStart w:id="20" w:name="executive-summary"/>
    <w:p>
      <w:pPr>
        <w:pStyle w:val="Heading2"/>
      </w:pPr>
      <w:r>
        <w:t xml:space="preserve">Executive Summary</w:t>
      </w:r>
    </w:p>
    <w:p>
      <w:pPr>
        <w:pStyle w:val="FirstParagraph"/>
      </w:pPr>
      <w:r>
        <w:t xml:space="preserve">The EU-LAC Digital Alliance held a high-level cybersecurity dialogue in February 2024 in Santo Domingo, marking a key step in EU and Latin America &amp; Caribbean (LAC) cooperation against rising cyber threats. Over 150 senior representatives from governments, civil society, academia, and the private sector discussed cyberdiplomacy, resilient ecosystems, capacity building, and critical infrastructure protection. The dialogue emphasized a human-centric digital transformation and developed a four-pillar approach: workforce capacity building, multi-stakeholder cooperation, strengthened cyber ecosystems, and secure connectivity. With cyber-attacks on critical infrastructure increasing in LAC, the dialogue fosters exchange of best practices and aligns EU-LAC values for enhanced regional and global cybersecurity resilience. This initiative, part of the EU-LAC Digital Alliance roadmap under the EU Global Gateway, aims to deliver concrete actions ahead of the 2025 EU-CELAC Summit, reinforcing a free, open, safe, and secure cyberspace amid emerging technological challenges.</w:t>
      </w:r>
    </w:p>
    <w:bookmarkEnd w:id="20"/>
    <w:bookmarkStart w:id="21" w:name="characteristics"/>
    <w:p>
      <w:pPr>
        <w:pStyle w:val="Heading2"/>
      </w:pPr>
      <w:r>
        <w:t xml:space="preserve">Characteristics</w:t>
      </w:r>
    </w:p>
    <w:p>
      <w:pPr>
        <w:pStyle w:val="Compact"/>
        <w:numPr>
          <w:ilvl w:val="0"/>
          <w:numId w:val="1001"/>
        </w:numPr>
      </w:pPr>
      <w:r>
        <w:t xml:space="preserve">The EU-LAC Digital Alliance held a high-level cybersecurity dialogue in February 2024, focusing on joint efforts to combat cyber-attacks between Europe and Latin America &amp; the Caribbean.</w:t>
      </w:r>
    </w:p>
    <w:p>
      <w:pPr>
        <w:pStyle w:val="Compact"/>
        <w:numPr>
          <w:ilvl w:val="0"/>
          <w:numId w:val="1001"/>
        </w:numPr>
      </w:pPr>
      <w:r>
        <w:t xml:space="preserve">The dialogue emphasized a human-centric digital transformation and involved over 150 senior representatives from governments, civil society, academia, and the private sector.</w:t>
      </w:r>
    </w:p>
    <w:p>
      <w:pPr>
        <w:pStyle w:val="Compact"/>
        <w:numPr>
          <w:ilvl w:val="0"/>
          <w:numId w:val="1001"/>
        </w:numPr>
      </w:pPr>
      <w:r>
        <w:t xml:space="preserve">Key discussion areas included cyberdiplomacy, resilient ecosystems, capacity building, and protection of critical infrastructure amid rising cyber threats in LAC.</w:t>
      </w:r>
    </w:p>
    <w:p>
      <w:pPr>
        <w:pStyle w:val="Compact"/>
        <w:numPr>
          <w:ilvl w:val="0"/>
          <w:numId w:val="1001"/>
        </w:numPr>
      </w:pPr>
      <w:r>
        <w:t xml:space="preserve">The cooperation framework is based on four pillars: workforce capacity building, multi-stakeholder cooperation, strengthened cyber ecosystems, and secure connectivity.</w:t>
      </w:r>
    </w:p>
    <w:p>
      <w:pPr>
        <w:pStyle w:val="Compact"/>
        <w:numPr>
          <w:ilvl w:val="0"/>
          <w:numId w:val="1001"/>
        </w:numPr>
      </w:pPr>
      <w:r>
        <w:t xml:space="preserve">The dialogue supports international collaboration, policy alignment, and infrastructure resilience to enhance regional and global cybersecurity.</w:t>
      </w:r>
    </w:p>
    <w:p>
      <w:pPr>
        <w:pStyle w:val="Compact"/>
        <w:numPr>
          <w:ilvl w:val="0"/>
          <w:numId w:val="1001"/>
        </w:numPr>
      </w:pPr>
      <w:r>
        <w:t xml:space="preserve">This initiative is part of the EU-LAC Digital Alliance roadmap under the EU Global Gateway, aiming for concrete cybersecurity steps ahead of the 2025 EU-CELAC Summit.</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European Union; EU Member States; European Commission; Governments; Government Officials; Community of Latin American and Caribbean States</w:t>
            </w:r>
          </w:p>
        </w:tc>
      </w:tr>
      <w:tr>
        <w:tc>
          <w:tcPr/>
          <w:p>
            <w:pPr>
              <w:pStyle w:val="Compact"/>
            </w:pPr>
            <w:r>
              <w:t xml:space="preserve">Research and Innovation Actors</w:t>
            </w:r>
          </w:p>
        </w:tc>
        <w:tc>
          <w:tcPr/>
          <w:p>
            <w:pPr>
              <w:pStyle w:val="Compact"/>
            </w:pPr>
            <w:r>
              <w:t xml:space="preserve">EU-LAC Digital Alliance; Academia; Universities</w:t>
            </w:r>
          </w:p>
        </w:tc>
      </w:tr>
      <w:tr>
        <w:tc>
          <w:tcPr/>
          <w:p>
            <w:pPr>
              <w:pStyle w:val="Compact"/>
            </w:pPr>
            <w:r>
              <w:t xml:space="preserve">Economic Actors</w:t>
            </w:r>
          </w:p>
        </w:tc>
        <w:tc>
          <w:tcPr/>
          <w:p>
            <w:pPr>
              <w:pStyle w:val="Compact"/>
            </w:pPr>
            <w:r>
              <w:t xml:space="preserve">Private Sector Representatives</w:t>
            </w:r>
          </w:p>
        </w:tc>
      </w:tr>
      <w:tr>
        <w:tc>
          <w:tcPr/>
          <w:p>
            <w:pPr>
              <w:pStyle w:val="Compact"/>
            </w:pPr>
            <w:r>
              <w:t xml:space="preserve">Civil Society Actors</w:t>
            </w:r>
          </w:p>
        </w:tc>
        <w:tc>
          <w:tcPr/>
          <w:p>
            <w:pPr>
              <w:pStyle w:val="Compact"/>
            </w:pPr>
            <w:r>
              <w:t xml:space="preserve">Civil Society Organisations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Regional &amp; International Cooperation</w:t>
            </w:r>
          </w:p>
        </w:tc>
        <w:tc>
          <w:tcPr/>
          <w:p>
            <w:pPr>
              <w:pStyle w:val="Compact"/>
            </w:pPr>
            <w:r>
              <w:t xml:space="preserve">EU-LAC Digital Alliance; Bi-regional Cooperation; Global Digital Cooperation</w:t>
            </w:r>
          </w:p>
        </w:tc>
      </w:tr>
      <w:tr>
        <w:tc>
          <w:tcPr/>
          <w:p>
            <w:pPr>
              <w:pStyle w:val="Compact"/>
            </w:pPr>
            <w:r>
              <w:t xml:space="preserve">Data &amp; Governance</w:t>
            </w:r>
          </w:p>
        </w:tc>
        <w:tc>
          <w:tcPr/>
          <w:p>
            <w:pPr>
              <w:pStyle w:val="Compact"/>
            </w:pPr>
            <w:r>
              <w:t xml:space="preserve">Cybersecurity</w:t>
            </w:r>
          </w:p>
        </w:tc>
      </w:tr>
    </w:tbl>
    <w:bookmarkEnd w:id="23"/>
    <w:bookmarkStart w:id="24" w:name="practical-applications"/>
    <w:p>
      <w:pPr>
        <w:pStyle w:val="Heading2"/>
      </w:pPr>
      <w:r>
        <w:t xml:space="preserve">Practical Applications</w:t>
      </w:r>
    </w:p>
    <w:p>
      <w:pPr>
        <w:pStyle w:val="Compact"/>
        <w:numPr>
          <w:ilvl w:val="0"/>
          <w:numId w:val="1002"/>
        </w:numPr>
      </w:pPr>
      <w:r>
        <w:t xml:space="preserve">The EU-LAC Digital Alliance held a high-level policy dialogue on cybersecurity in February 2024 in Santo Domingo, Dominican Republic, focusing on cyberdiplomacy, resilient ecosystems, capacity building, and protection of critical infrastructure.</w:t>
      </w:r>
    </w:p>
    <w:p>
      <w:pPr>
        <w:pStyle w:val="Compact"/>
        <w:numPr>
          <w:ilvl w:val="0"/>
          <w:numId w:val="1002"/>
        </w:numPr>
      </w:pPr>
      <w:r>
        <w:t xml:space="preserve">The dialogue developed a comprehensive cybersecurity approach based on four pillars: workforce capacity building, multi-stakeholder cooperation, strengthened cyber ecosystems, and secure connectivity.</w:t>
      </w:r>
    </w:p>
    <w:p>
      <w:pPr>
        <w:pStyle w:val="Compact"/>
        <w:numPr>
          <w:ilvl w:val="0"/>
          <w:numId w:val="1002"/>
        </w:numPr>
      </w:pPr>
      <w:r>
        <w:t xml:space="preserve">Initiatives include education and training programs, partnerships with the private sector and academia, skill enhancement, cybersecurity awareness, and global collaboration to address the demand for qualified cybersecurity professionals.</w:t>
      </w:r>
    </w:p>
    <w:p>
      <w:pPr>
        <w:pStyle w:val="Compact"/>
        <w:numPr>
          <w:ilvl w:val="0"/>
          <w:numId w:val="1002"/>
        </w:numPr>
      </w:pPr>
      <w:r>
        <w:t xml:space="preserve">The EU-LAC Digital Alliance operates under a roadmap launched in March 2023 as part of the EU Global Gateway, with participating countries committed to regular bi-regional dialogue and cooperation on digital matters.</w:t>
      </w:r>
    </w:p>
    <w:p>
      <w:pPr>
        <w:pStyle w:val="Compact"/>
        <w:numPr>
          <w:ilvl w:val="0"/>
          <w:numId w:val="1002"/>
        </w:numPr>
      </w:pPr>
      <w:r>
        <w:t xml:space="preserve">The EU-LAC Digital Alliance facilitates exchange of experience and best practices among governments, civil society, academia, and private sector to strengthen national and regional cybersecurity ecosystems.</w:t>
      </w:r>
    </w:p>
    <w:p>
      <w:pPr>
        <w:pStyle w:val="Compact"/>
        <w:numPr>
          <w:ilvl w:val="0"/>
          <w:numId w:val="1002"/>
        </w:numPr>
      </w:pPr>
      <w:r>
        <w:t xml:space="preserve">The dialogue supports the development and alignment of policy and regulatory frameworks to detect, mitigate, and recover from cyber-attacks.</w:t>
      </w:r>
    </w:p>
    <w:p>
      <w:pPr>
        <w:pStyle w:val="Compact"/>
        <w:numPr>
          <w:ilvl w:val="0"/>
          <w:numId w:val="1002"/>
        </w:numPr>
      </w:pPr>
      <w:r>
        <w:t xml:space="preserve">Efforts are underway to ensure resilient infrastructure for secure connectivity to withstand cyber-attacks, enhancing the sustainability of expanding connectivity infrastructure.</w:t>
      </w:r>
    </w:p>
    <w:p>
      <w:pPr>
        <w:pStyle w:val="Compact"/>
        <w:numPr>
          <w:ilvl w:val="0"/>
          <w:numId w:val="1002"/>
        </w:numPr>
      </w:pPr>
      <w:r>
        <w:t xml:space="preserve">Belize has expressed official interest in joining the EU-LAC Digital Alliance, indicating ongoing expansion and inclusion efforts.</w:t>
      </w:r>
    </w:p>
    <w:bookmarkEnd w:id="24"/>
    <w:bookmarkStart w:id="25" w:name="commitments"/>
    <w:p>
      <w:pPr>
        <w:pStyle w:val="Heading2"/>
      </w:pPr>
      <w:r>
        <w:t xml:space="preserve">Commitments</w:t>
      </w:r>
    </w:p>
    <w:p>
      <w:pPr>
        <w:pStyle w:val="Compact"/>
        <w:numPr>
          <w:ilvl w:val="0"/>
          <w:numId w:val="1003"/>
        </w:numPr>
      </w:pPr>
      <w:r>
        <w:t xml:space="preserve">Participating countries committed to regular bi-regional dialogue and cooperation on digital matters for the benefit of their citizens, as stated in the Joint Declaration issued in July 2023 in the context of the EU-CELAC Summit.</w:t>
      </w:r>
    </w:p>
    <w:p>
      <w:pPr>
        <w:pStyle w:val="Compact"/>
        <w:numPr>
          <w:ilvl w:val="0"/>
          <w:numId w:val="1003"/>
        </w:numPr>
      </w:pPr>
      <w:r>
        <w:t xml:space="preserve">The EU-LAC Digital Alliance aims to deliver a set of concrete steps on cybersecurity and other digital dialogues by the 2025 EU-CELAC Summit.</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2025-06-19T16:26:17Z</dcterms:created>
  <dcterms:modified xsi:type="dcterms:W3CDTF">2025-06-19T16:26:17Z</dcterms:modified>
</cp:coreProperties>
</file>

<file path=docProps/custom.xml><?xml version="1.0" encoding="utf-8"?>
<Properties xmlns="http://schemas.openxmlformats.org/officeDocument/2006/custom-properties" xmlns:vt="http://schemas.openxmlformats.org/officeDocument/2006/docPropsVTypes"/>
</file>