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X71fdca59e589e27523ae78ca0fb5abfff10e65e"/>
    <w:p>
      <w:pPr>
        <w:pStyle w:val="Heading1"/>
      </w:pPr>
      <w:r>
        <w:t xml:space="preserve">EU-LAC High-Level Event on Human Development and Health 2024 Summary Report</w:t>
      </w:r>
    </w:p>
    <w:p>
      <w:pPr>
        <w:pStyle w:val="FirstParagraph"/>
      </w:pPr>
      <w:r>
        <w:rPr>
          <w:b/>
          <w:bCs/>
        </w:rPr>
        <w:t xml:space="preserve">Date</w:t>
      </w:r>
      <w:r>
        <w:t xml:space="preserve">: 2024-03-21</w:t>
      </w:r>
    </w:p>
    <w:p>
      <w:pPr>
        <w:pStyle w:val="BodyText"/>
      </w:pPr>
      <w:r>
        <w:rPr>
          <w:b/>
          <w:bCs/>
        </w:rPr>
        <w:t xml:space="preserve">Location</w:t>
      </w:r>
      <w:r>
        <w:t xml:space="preserve">: Brussels, Belgium</w:t>
      </w:r>
    </w:p>
    <w:bookmarkStart w:id="20" w:name="executive-summary"/>
    <w:p>
      <w:pPr>
        <w:pStyle w:val="Heading2"/>
      </w:pPr>
      <w:r>
        <w:t xml:space="preserve">Executive Summary</w:t>
      </w:r>
    </w:p>
    <w:p>
      <w:pPr>
        <w:pStyle w:val="FirstParagraph"/>
      </w:pPr>
      <w:r>
        <w:t xml:space="preserve">The EU-LAC High-Level Event on Human Development and Health held in Brussels (March 21-22, 2024) focused on enhancing collaboration for inclusive human development and equitable health access. Key discussions addressed universal access to affordable medicines, regulatory harmonization, and inclusive social policies targeting poverty, gender, and youth employment. The event launched the Team Europe Initiative</w:t>
      </w:r>
      <w:r>
        <w:t xml:space="preserve"> </w:t>
      </w:r>
      <w:r>
        <w:t xml:space="preserve">“Inclusive and Equitable Societies in LAC,”</w:t>
      </w:r>
      <w:r>
        <w:t xml:space="preserve"> </w:t>
      </w:r>
      <w:r>
        <w:t xml:space="preserve">aligned with the SDGs. High-level participants included PAHO officials, EU Commission staff, and health authorities from Latin America and the Caribbean. Outcomes featured a EUR268 million EU funding commitment to support social services in LAC, aiming to mobilize up to EUR1 billion in investments, and the launch of the</w:t>
      </w:r>
      <w:r>
        <w:t xml:space="preserve"> </w:t>
      </w:r>
      <w:r>
        <w:t xml:space="preserve">‘Regulators of the Americas Learning Pathway’</w:t>
      </w:r>
      <w:r>
        <w:t xml:space="preserve"> </w:t>
      </w:r>
      <w:r>
        <w:t xml:space="preserve">training program. The event aligned with the EU’s Global Gateway Investment Agenda, targeting EUR45 billion mobilization for LAC by 2027, reinforcing EU-LAC partnership for sustainable and inclusive development.</w:t>
      </w:r>
    </w:p>
    <w:bookmarkEnd w:id="20"/>
    <w:bookmarkStart w:id="21" w:name="characteristics"/>
    <w:p>
      <w:pPr>
        <w:pStyle w:val="Heading2"/>
      </w:pPr>
      <w:r>
        <w:t xml:space="preserve">Characteristics</w:t>
      </w:r>
    </w:p>
    <w:p>
      <w:pPr>
        <w:pStyle w:val="Compact"/>
        <w:numPr>
          <w:ilvl w:val="0"/>
          <w:numId w:val="1001"/>
        </w:numPr>
      </w:pPr>
      <w:r>
        <w:t xml:space="preserve">Focus on strengthening EU-LAC collaboration for inclusive human development and equitable health access.</w:t>
      </w:r>
    </w:p>
    <w:p>
      <w:pPr>
        <w:pStyle w:val="Compact"/>
        <w:numPr>
          <w:ilvl w:val="0"/>
          <w:numId w:val="1001"/>
        </w:numPr>
      </w:pPr>
      <w:r>
        <w:t xml:space="preserve">Emphasis on universal access to affordable, safe medicines and harmonizing regulatory standards.</w:t>
      </w:r>
    </w:p>
    <w:p>
      <w:pPr>
        <w:pStyle w:val="Compact"/>
        <w:numPr>
          <w:ilvl w:val="0"/>
          <w:numId w:val="1001"/>
        </w:numPr>
      </w:pPr>
      <w:r>
        <w:t xml:space="preserve">Promotion of inclusive social policies targeting poverty, inequality, gender, youth, and employment.</w:t>
      </w:r>
    </w:p>
    <w:p>
      <w:pPr>
        <w:pStyle w:val="Compact"/>
        <w:numPr>
          <w:ilvl w:val="0"/>
          <w:numId w:val="1001"/>
        </w:numPr>
      </w:pPr>
      <w:r>
        <w:t xml:space="preserve">Launch of the Team Europe Initiative supporting inclusive social development aligned with SDGs.</w:t>
      </w:r>
    </w:p>
    <w:p>
      <w:pPr>
        <w:pStyle w:val="Compact"/>
        <w:numPr>
          <w:ilvl w:val="0"/>
          <w:numId w:val="1001"/>
        </w:numPr>
      </w:pPr>
      <w:r>
        <w:t xml:space="preserve">EU commitment of EUR268 million to support social services in LAC, aiming to mobilize EUR1 billion.</w:t>
      </w:r>
    </w:p>
    <w:p>
      <w:pPr>
        <w:pStyle w:val="Compact"/>
        <w:numPr>
          <w:ilvl w:val="0"/>
          <w:numId w:val="1001"/>
        </w:numPr>
      </w:pPr>
      <w:r>
        <w:t xml:space="preserve">Introduction of regulatory capacity building via the</w:t>
      </w:r>
      <w:r>
        <w:t xml:space="preserve"> </w:t>
      </w:r>
      <w:r>
        <w:t xml:space="preserve">‘Regulators of the Americas Learning Pathway’</w:t>
      </w:r>
      <w:r>
        <w:t xml:space="preserve"> </w:t>
      </w:r>
      <w:r>
        <w:t xml:space="preserve">program.</w:t>
      </w:r>
    </w:p>
    <w:bookmarkEnd w:id="21"/>
    <w:bookmarkStart w:id="22" w:name="actors"/>
    <w:p>
      <w:pPr>
        <w:pStyle w:val="Heading2"/>
      </w:pPr>
      <w:r>
        <w:t xml:space="preserve">Actors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Category</w:t>
            </w:r>
          </w:p>
        </w:tc>
        <w:tc>
          <w:tcPr/>
          <w:p>
            <w:pPr>
              <w:pStyle w:val="Compact"/>
            </w:pPr>
            <w:r>
              <w:t xml:space="preserve">Actor</w:t>
            </w:r>
          </w:p>
        </w:tc>
      </w:tr>
      <w:tr>
        <w:tc>
          <w:tcPr/>
          <w:p>
            <w:pPr>
              <w:pStyle w:val="Compact"/>
            </w:pPr>
            <w:r>
              <w:t xml:space="preserve">Political Actors</w:t>
            </w:r>
          </w:p>
        </w:tc>
        <w:tc>
          <w:tcPr/>
          <w:p>
            <w:pPr>
              <w:pStyle w:val="Compact"/>
            </w:pPr>
            <w:r>
              <w:t xml:space="preserve">Pan American Health Organization (PAHO); European Commission; Governments</w:t>
            </w:r>
          </w:p>
        </w:tc>
      </w:tr>
    </w:tbl>
    <w:bookmarkEnd w:id="22"/>
    <w:bookmarkStart w:id="23" w:name="main-themes"/>
    <w:p>
      <w:pPr>
        <w:pStyle w:val="Heading2"/>
      </w:pPr>
      <w:r>
        <w:t xml:space="preserve">Main Themes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Category</w:t>
            </w:r>
          </w:p>
        </w:tc>
        <w:tc>
          <w:tcPr/>
          <w:p>
            <w:pPr>
              <w:pStyle w:val="Compact"/>
            </w:pPr>
            <w:r>
              <w:t xml:space="preserve">Subcategory</w:t>
            </w:r>
          </w:p>
        </w:tc>
      </w:tr>
      <w:tr>
        <w:tc>
          <w:tcPr/>
          <w:p>
            <w:pPr>
              <w:pStyle w:val="Compact"/>
            </w:pPr>
            <w:r>
              <w:t xml:space="preserve">Inclusion &amp; Social Development</w:t>
            </w:r>
          </w:p>
        </w:tc>
        <w:tc>
          <w:tcPr/>
          <w:p>
            <w:pPr>
              <w:pStyle w:val="Compact"/>
            </w:pPr>
            <w:r>
              <w:t xml:space="preserve">Digital Inclusion; Social Cohesion</w:t>
            </w:r>
          </w:p>
        </w:tc>
      </w:tr>
      <w:tr>
        <w:tc>
          <w:tcPr/>
          <w:p>
            <w:pPr>
              <w:pStyle w:val="Compact"/>
            </w:pPr>
            <w:r>
              <w:t xml:space="preserve">Regional &amp; International Cooperation</w:t>
            </w:r>
          </w:p>
        </w:tc>
        <w:tc>
          <w:tcPr/>
          <w:p>
            <w:pPr>
              <w:pStyle w:val="Compact"/>
            </w:pPr>
            <w:r>
              <w:t xml:space="preserve">EU-LAC Digital Alliance; Bi-regional Cooperation; Multilateralism</w:t>
            </w:r>
          </w:p>
        </w:tc>
      </w:tr>
    </w:tbl>
    <w:bookmarkEnd w:id="23"/>
    <w:bookmarkStart w:id="24" w:name="practical-applications"/>
    <w:p>
      <w:pPr>
        <w:pStyle w:val="Heading2"/>
      </w:pPr>
      <w:r>
        <w:t xml:space="preserve">Practical Applications</w:t>
      </w:r>
    </w:p>
    <w:p>
      <w:pPr>
        <w:pStyle w:val="Compact"/>
        <w:numPr>
          <w:ilvl w:val="0"/>
          <w:numId w:val="1002"/>
        </w:numPr>
      </w:pPr>
      <w:r>
        <w:t xml:space="preserve">Launch of the Team Europe Initiative</w:t>
      </w:r>
      <w:r>
        <w:t xml:space="preserve"> </w:t>
      </w:r>
      <w:r>
        <w:t xml:space="preserve">“Inclusive and Equitable Societies in LAC”</w:t>
      </w:r>
      <w:r>
        <w:t xml:space="preserve"> </w:t>
      </w:r>
      <w:r>
        <w:t xml:space="preserve">promoting inclusive social development aligned with the Sustainable Development Goals (SDGs).</w:t>
      </w:r>
    </w:p>
    <w:p>
      <w:pPr>
        <w:pStyle w:val="Compact"/>
        <w:numPr>
          <w:ilvl w:val="0"/>
          <w:numId w:val="1002"/>
        </w:numPr>
      </w:pPr>
      <w:r>
        <w:t xml:space="preserve">EU funding commitment of EUR268 million (approx. $290 million) to support access to basic social services and rights in Latin America and the Caribbean (LAC), aiming to mobilize up to EUR1 billion in investments.</w:t>
      </w:r>
    </w:p>
    <w:p>
      <w:pPr>
        <w:pStyle w:val="Compact"/>
        <w:numPr>
          <w:ilvl w:val="0"/>
          <w:numId w:val="1002"/>
        </w:numPr>
      </w:pPr>
      <w:r>
        <w:t xml:space="preserve">Launch of the</w:t>
      </w:r>
      <w:r>
        <w:t xml:space="preserve"> </w:t>
      </w:r>
      <w:r>
        <w:t xml:space="preserve">‘Regulators of the Americas Learning Pathway’</w:t>
      </w:r>
      <w:r>
        <w:t xml:space="preserve"> </w:t>
      </w:r>
      <w:r>
        <w:t xml:space="preserve">training program to build regulatory capacity for equitable access to health products.</w:t>
      </w:r>
    </w:p>
    <w:p>
      <w:pPr>
        <w:pStyle w:val="Compact"/>
        <w:numPr>
          <w:ilvl w:val="0"/>
          <w:numId w:val="1002"/>
        </w:numPr>
      </w:pPr>
      <w:r>
        <w:t xml:space="preserve">Alignment of the event and initiatives with the EU’s Global Gateway Investment Agenda targeting EUR45 billion mobilization for LAC by 2027.</w:t>
      </w:r>
    </w:p>
    <w:bookmarkEnd w:id="24"/>
    <w:bookmarkStart w:id="25" w:name="commitments"/>
    <w:p>
      <w:pPr>
        <w:pStyle w:val="Heading2"/>
      </w:pPr>
      <w:r>
        <w:t xml:space="preserve">Commitments</w:t>
      </w:r>
    </w:p>
    <w:p>
      <w:pPr>
        <w:pStyle w:val="Compact"/>
        <w:numPr>
          <w:ilvl w:val="0"/>
          <w:numId w:val="1003"/>
        </w:numPr>
      </w:pPr>
      <w:r>
        <w:t xml:space="preserve">[</w:t>
      </w:r>
    </w:p>
    <w:p>
      <w:pPr>
        <w:pStyle w:val="Compact"/>
        <w:numPr>
          <w:ilvl w:val="0"/>
          <w:numId w:val="1003"/>
        </w:numPr>
      </w:pPr>
      <w:r>
        <w:t xml:space="preserve">“The EU announced EUR 268 million (approx. $290 million) to support access to basic social services and rights in LAC, aiming to mobilize up to EUR 1 billion in investments.”</w:t>
      </w:r>
      <w:r>
        <w:t xml:space="preserve">,</w:t>
      </w:r>
    </w:p>
    <w:p>
      <w:pPr>
        <w:pStyle w:val="Compact"/>
        <w:numPr>
          <w:ilvl w:val="0"/>
          <w:numId w:val="1003"/>
        </w:numPr>
      </w:pPr>
      <w:r>
        <w:t xml:space="preserve">“The EU’s Global Gateway Investment Agenda targets mobilization of EUR 45 billion for LAC by 2027.”</w:t>
      </w:r>
    </w:p>
    <w:p>
      <w:pPr>
        <w:pStyle w:val="Compact"/>
        <w:numPr>
          <w:ilvl w:val="0"/>
          <w:numId w:val="1003"/>
        </w:numPr>
      </w:pPr>
      <w:r>
        <w:t xml:space="preserve">]</w:t>
      </w:r>
    </w:p>
    <w:bookmarkEnd w:id="25"/>
    <w:bookmarkEnd w:id="2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2025-06-19T16:33:07Z</dcterms:created>
  <dcterms:modified xsi:type="dcterms:W3CDTF">2025-06-19T16:33:07Z</dcterms:modified>
</cp:coreProperties>
</file>

<file path=docProps/custom.xml><?xml version="1.0" encoding="utf-8"?>
<Properties xmlns="http://schemas.openxmlformats.org/officeDocument/2006/custom-properties" xmlns:vt="http://schemas.openxmlformats.org/officeDocument/2006/docPropsVTypes"/>
</file>