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25d5e593335404553c353856f9f35ad927344c"/>
    <w:p>
      <w:pPr>
        <w:pStyle w:val="Heading1"/>
      </w:pPr>
      <w:r>
        <w:t xml:space="preserve">Declaration on Strengthening EU-CELAC Relations and Addressing Shared Challenges from the EuroLat Standing Parliamentary Committees Meeting in Santo Domingo, October 2023</w:t>
      </w:r>
    </w:p>
    <w:p>
      <w:pPr>
        <w:pStyle w:val="FirstParagraph"/>
      </w:pPr>
      <w:r>
        <w:rPr>
          <w:b/>
          <w:bCs/>
        </w:rPr>
        <w:t xml:space="preserve">Date</w:t>
      </w:r>
      <w:r>
        <w:t xml:space="preserve">: 2023-10-30</w:t>
      </w:r>
    </w:p>
    <w:p>
      <w:pPr>
        <w:pStyle w:val="BodyText"/>
      </w:pPr>
      <w:r>
        <w:rPr>
          <w:b/>
          <w:bCs/>
        </w:rPr>
        <w:t xml:space="preserve">Location</w:t>
      </w:r>
      <w:r>
        <w:t xml:space="preserve">: Santo Domingo, Dominican Republic</w:t>
      </w:r>
    </w:p>
    <w:bookmarkStart w:id="20" w:name="executive-summary"/>
    <w:p>
      <w:pPr>
        <w:pStyle w:val="Heading2"/>
      </w:pPr>
      <w:r>
        <w:t xml:space="preserve">Executive Summary</w:t>
      </w:r>
    </w:p>
    <w:p>
      <w:pPr>
        <w:pStyle w:val="FirstParagraph"/>
      </w:pPr>
      <w:r>
        <w:t xml:space="preserve">The EuroLat Standing Parliamentary Committees met in Santo Domingo (Oct 30-Nov 2, 2023) and issued a declaration addressing key challenges and future cooperation between the EU and Latin America-Caribbean (CELAC). They welcomed the III EU-CELAC Summit (July 2023) and its roadmap for revitalizing bi-regional dialogue, emphasizing investment via the EU’s Global Gateway program. The declaration stressed respect for democracy, judicial independence, and electoral integrity. It highlighted cooperation on drug trafficking, migration, digital transformation, climate change, and human rights. Migration concerns included asylum increases, the need for coordinated policies, and support for vulnerable groups. Digital and educational alliances were encouraged, focusing on ethical AI and connectivity. Climate change was recognized as a critical threat, urging joint action and financial support for biodiversity and green initiatives. The declaration condemned Hamas terrorist attacks on Israel, called for humanitarian aid in Gaza, and reaffirmed support for a two-state solution respecting international law.</w:t>
      </w:r>
    </w:p>
    <w:bookmarkEnd w:id="20"/>
    <w:bookmarkStart w:id="21" w:name="characteristics"/>
    <w:p>
      <w:pPr>
        <w:pStyle w:val="Heading2"/>
      </w:pPr>
      <w:r>
        <w:t xml:space="preserve">Characteristics</w:t>
      </w:r>
    </w:p>
    <w:p>
      <w:pPr>
        <w:pStyle w:val="Compact"/>
        <w:numPr>
          <w:ilvl w:val="0"/>
          <w:numId w:val="1001"/>
        </w:numPr>
      </w:pPr>
      <w:r>
        <w:t xml:space="preserve">EuroLat supports the III EU-CELAC Summit outcomes, emphasizing renewed high-level dialogue and cooperation between Europe and Latin America/Caribbean (LAC) regions, with plans for a 2025 summit in CELAC.</w:t>
      </w:r>
    </w:p>
    <w:p>
      <w:pPr>
        <w:pStyle w:val="Compact"/>
        <w:numPr>
          <w:ilvl w:val="0"/>
          <w:numId w:val="1001"/>
        </w:numPr>
      </w:pPr>
      <w:r>
        <w:t xml:space="preserve">The declaration highlights key areas: sustainable investment via EU’s Global Gateway, judicial independence, political pluralism, migration management, digital transformation, climate action, and human rights protection.</w:t>
      </w:r>
    </w:p>
    <w:p>
      <w:pPr>
        <w:pStyle w:val="Compact"/>
        <w:numPr>
          <w:ilvl w:val="0"/>
          <w:numId w:val="1001"/>
        </w:numPr>
      </w:pPr>
      <w:r>
        <w:t xml:space="preserve">Migration is addressed with calls for coordinated, rights-based policies, international cooperation against trafficking, and support for vulnerable groups, recognizing migration’s economic and social impacts.</w:t>
      </w:r>
    </w:p>
    <w:p>
      <w:pPr>
        <w:pStyle w:val="Compact"/>
        <w:numPr>
          <w:ilvl w:val="0"/>
          <w:numId w:val="1001"/>
        </w:numPr>
      </w:pPr>
      <w:r>
        <w:t xml:space="preserve">Digital and educational alliances are promoted, focusing on ethical AI, cybersecurity, digital inclusion, and creating a common higher education and innovation space between EU and LAC.</w:t>
      </w:r>
    </w:p>
    <w:p>
      <w:pPr>
        <w:pStyle w:val="Compact"/>
        <w:numPr>
          <w:ilvl w:val="0"/>
          <w:numId w:val="1001"/>
        </w:numPr>
      </w:pPr>
      <w:r>
        <w:t xml:space="preserve">Climate change is a major concern, urging adherence to international agreements, biodiversity protection, green financing, and joint efforts to address environmental challenges like sargassum in the Caribbean.</w:t>
      </w:r>
    </w:p>
    <w:p>
      <w:pPr>
        <w:pStyle w:val="Compact"/>
        <w:numPr>
          <w:ilvl w:val="0"/>
          <w:numId w:val="1001"/>
        </w:numPr>
      </w:pPr>
      <w:r>
        <w:t xml:space="preserve">The declaration condemns terrorism in the Middle East, supports Israel’s right to defense within international law, calls for humanitarian aid in Gaza, and reaffirms commitment to a two-state solution respecting international law.</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Community of Latin American and Caribbean States; Southern Common Market; European Union; European Parliament; United Nations</w:t>
            </w:r>
          </w:p>
        </w:tc>
      </w:tr>
      <w:tr>
        <w:tc>
          <w:tcPr/>
          <w:p>
            <w:pPr>
              <w:pStyle w:val="Compact"/>
            </w:pPr>
            <w:r>
              <w:t xml:space="preserve">Research and Innovation Actors</w:t>
            </w:r>
          </w:p>
        </w:tc>
        <w:tc>
          <w:tcPr/>
          <w:p>
            <w:pPr>
              <w:pStyle w:val="Compact"/>
            </w:pPr>
            <w:r>
              <w:t xml:space="preserve">Organisation of Ibero-American States; EU-LAC Digital Alliance</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EU-CELAC Digital Partnership; Digital &amp; Technological Partnerships; Multilateralism</w:t>
            </w:r>
          </w:p>
        </w:tc>
      </w:tr>
      <w:tr>
        <w:tc>
          <w:tcPr/>
          <w:p>
            <w:pPr>
              <w:pStyle w:val="Compact"/>
            </w:pPr>
            <w:r>
              <w:t xml:space="preserve">Digital Transformation &amp; Strategy</w:t>
            </w:r>
          </w:p>
        </w:tc>
        <w:tc>
          <w:tcPr/>
          <w:p>
            <w:pPr>
              <w:pStyle w:val="Compact"/>
            </w:pPr>
            <w:r>
              <w:t xml:space="preserve">Digital Acceleration; Digital Platforms</w:t>
            </w:r>
          </w:p>
        </w:tc>
      </w:tr>
      <w:tr>
        <w:tc>
          <w:tcPr/>
          <w:p>
            <w:pPr>
              <w:pStyle w:val="Compact"/>
            </w:pPr>
            <w:r>
              <w:t xml:space="preserve">Technology &amp; Innovation</w:t>
            </w:r>
          </w:p>
        </w:tc>
        <w:tc>
          <w:tcPr/>
          <w:p>
            <w:pPr>
              <w:pStyle w:val="Compact"/>
            </w:pPr>
            <w:r>
              <w:t xml:space="preserve">Artificial Intelligence</w:t>
            </w:r>
          </w:p>
        </w:tc>
      </w:tr>
      <w:tr>
        <w:tc>
          <w:tcPr/>
          <w:p>
            <w:pPr>
              <w:pStyle w:val="Compact"/>
            </w:pPr>
            <w:r>
              <w:t xml:space="preserve">Data &amp; Governance</w:t>
            </w:r>
          </w:p>
        </w:tc>
        <w:tc>
          <w:tcPr/>
          <w:p>
            <w:pPr>
              <w:pStyle w:val="Compact"/>
            </w:pPr>
            <w:r>
              <w:t xml:space="preserve">Digital Governance</w:t>
            </w:r>
          </w:p>
        </w:tc>
      </w:tr>
      <w:tr>
        <w:tc>
          <w:tcPr/>
          <w:p>
            <w:pPr>
              <w:pStyle w:val="Compact"/>
            </w:pPr>
            <w:r>
              <w:t xml:space="preserve">Inclusion &amp; Social Development</w:t>
            </w:r>
          </w:p>
        </w:tc>
        <w:tc>
          <w:tcPr/>
          <w:p>
            <w:pPr>
              <w:pStyle w:val="Compact"/>
            </w:pPr>
            <w:r>
              <w:t xml:space="preserve">Digital Inclusion</w:t>
            </w:r>
          </w:p>
        </w:tc>
      </w:tr>
    </w:tbl>
    <w:bookmarkEnd w:id="23"/>
    <w:bookmarkStart w:id="24" w:name="practical-applications"/>
    <w:p>
      <w:pPr>
        <w:pStyle w:val="Heading2"/>
      </w:pPr>
      <w:r>
        <w:t xml:space="preserve">Practical Applications</w:t>
      </w:r>
    </w:p>
    <w:p>
      <w:pPr>
        <w:pStyle w:val="Compact"/>
        <w:numPr>
          <w:ilvl w:val="0"/>
          <w:numId w:val="1002"/>
        </w:numPr>
      </w:pPr>
      <w:r>
        <w:t xml:space="preserve">Establishment of a consultative coordination instance and planning of a new EU-CELAC bi-regional summit in 2025 in the CELAC region.</w:t>
      </w:r>
    </w:p>
    <w:p>
      <w:pPr>
        <w:pStyle w:val="Compact"/>
        <w:numPr>
          <w:ilvl w:val="0"/>
          <w:numId w:val="1002"/>
        </w:numPr>
      </w:pPr>
      <w:r>
        <w:t xml:space="preserve">Implementation of the EU Global Gateway investment program for Latin America and the Caribbean with up to €45 billion until 2027, focusing on sustainable and inclusive development, with mechanisms for monitoring and follow-up.</w:t>
      </w:r>
    </w:p>
    <w:p>
      <w:pPr>
        <w:pStyle w:val="Compact"/>
        <w:numPr>
          <w:ilvl w:val="0"/>
          <w:numId w:val="1002"/>
        </w:numPr>
      </w:pPr>
      <w:r>
        <w:t xml:space="preserve">Continuation of the mandate of the EuroLat Assembly to strengthen, develop, and give visibility to the EU-LAC Strategic Partnership, including parliamentary diplomacy.</w:t>
      </w:r>
    </w:p>
    <w:p>
      <w:pPr>
        <w:pStyle w:val="Compact"/>
        <w:numPr>
          <w:ilvl w:val="0"/>
          <w:numId w:val="1002"/>
        </w:numPr>
      </w:pPr>
      <w:r>
        <w:t xml:space="preserve">Completion and ratification efforts for Association Agreements between the EU and Central America, Mexico, Chile, and Mercosur to enhance political and economic relations.</w:t>
      </w:r>
    </w:p>
    <w:p>
      <w:pPr>
        <w:pStyle w:val="Compact"/>
        <w:numPr>
          <w:ilvl w:val="0"/>
          <w:numId w:val="1002"/>
        </w:numPr>
      </w:pPr>
      <w:r>
        <w:t xml:space="preserve">Cooperation programs against drug trafficking and organized crime, including the COPOLAD program and agreements with AMERIPOL for police cooperation, supported by the EuroLat Working Group on Security, Organized Crime, Transnational Crime, and Terrorism.</w:t>
      </w:r>
    </w:p>
    <w:p>
      <w:pPr>
        <w:pStyle w:val="Compact"/>
        <w:numPr>
          <w:ilvl w:val="0"/>
          <w:numId w:val="1002"/>
        </w:numPr>
      </w:pPr>
      <w:r>
        <w:t xml:space="preserve">Promotion of coordinated parliamentary efforts between Latin American regional parliaments and the European Parliament to address migration comprehensively with a shared responsibility approach.</w:t>
      </w:r>
    </w:p>
    <w:p>
      <w:pPr>
        <w:pStyle w:val="Compact"/>
        <w:numPr>
          <w:ilvl w:val="0"/>
          <w:numId w:val="1002"/>
        </w:numPr>
      </w:pPr>
      <w:r>
        <w:t xml:space="preserve">Activation of the EU Temporary Protection Directive in response to the Russian aggression against Ukraine.</w:t>
      </w:r>
    </w:p>
    <w:p>
      <w:pPr>
        <w:pStyle w:val="Compact"/>
        <w:numPr>
          <w:ilvl w:val="0"/>
          <w:numId w:val="1002"/>
        </w:numPr>
      </w:pPr>
      <w:r>
        <w:t xml:space="preserve">Support for visa exemption for short stays in the EU for citizens of the Dominican Republic and Ecuador.</w:t>
      </w:r>
    </w:p>
    <w:p>
      <w:pPr>
        <w:pStyle w:val="Compact"/>
        <w:numPr>
          <w:ilvl w:val="0"/>
          <w:numId w:val="1002"/>
        </w:numPr>
      </w:pPr>
      <w:r>
        <w:t xml:space="preserve">Development of comprehensive public policies to promote social inclusion of migrants regardless of their status, including access to education, healthcare, decent employment, fair remuneration, labor insertion programs, and cross-border labor migration procedures aligned with ILO standards.</w:t>
      </w:r>
    </w:p>
    <w:p>
      <w:pPr>
        <w:pStyle w:val="Compact"/>
        <w:numPr>
          <w:ilvl w:val="0"/>
          <w:numId w:val="1002"/>
        </w:numPr>
      </w:pPr>
      <w:r>
        <w:t xml:space="preserve">Strengthening international cooperation and dialogue to prevent and combat migrant smuggling and human trafficking, including legislative adaptations and victim protection in line with international conventions.</w:t>
      </w:r>
    </w:p>
    <w:p>
      <w:pPr>
        <w:pStyle w:val="Compact"/>
        <w:numPr>
          <w:ilvl w:val="0"/>
          <w:numId w:val="1002"/>
        </w:numPr>
      </w:pPr>
      <w:r>
        <w:t xml:space="preserve">Support for the EU-LAC Digital Alliance launched in March 2023, including investment agendas under the Global Gateway, the Joint EU-CELAC Research and Innovation Initiative, and the Latin America and Caribbean Cyber Capacity Center.</w:t>
      </w:r>
    </w:p>
    <w:p>
      <w:pPr>
        <w:pStyle w:val="Compact"/>
        <w:numPr>
          <w:ilvl w:val="0"/>
          <w:numId w:val="1002"/>
        </w:numPr>
      </w:pPr>
      <w:r>
        <w:t xml:space="preserve">Promotion of digital transformation and AI development respecting democratic principles, human rights, and ethical criteria, with efforts to increase connectivity and reduce digital divides.</w:t>
      </w:r>
    </w:p>
    <w:p>
      <w:pPr>
        <w:pStyle w:val="Compact"/>
        <w:numPr>
          <w:ilvl w:val="0"/>
          <w:numId w:val="1002"/>
        </w:numPr>
      </w:pPr>
      <w:r>
        <w:t xml:space="preserve">Exchange of legislative experiences and harmonization of digital strategies and policies to enhance digital compatibility and coordinated international positions.</w:t>
      </w:r>
    </w:p>
    <w:p>
      <w:pPr>
        <w:pStyle w:val="Compact"/>
        <w:numPr>
          <w:ilvl w:val="0"/>
          <w:numId w:val="1002"/>
        </w:numPr>
      </w:pPr>
      <w:r>
        <w:t xml:space="preserve">Coordinated action in political, legislative, judicial, police, and educational fields involving digital industry and civil society to strengthen cybersecurity and ensure safe use of digital technologies and AI.</w:t>
      </w:r>
    </w:p>
    <w:p>
      <w:pPr>
        <w:pStyle w:val="Compact"/>
        <w:numPr>
          <w:ilvl w:val="0"/>
          <w:numId w:val="1002"/>
        </w:numPr>
      </w:pPr>
      <w:r>
        <w:t xml:space="preserve">Advancement of the creation of the Common Higher Education, Science, Technology, and Innovation Area as an academic pillar of the EU-LAC Strategic Partnership, including a CELAC-EU Academic Integration Agreement based on the V Alcalá de Henares Academic Summit proposal and cooperation networks like the Permanent ALC-EU Academic Forum, OEI, and EU-LAC Foundation.</w:t>
      </w:r>
    </w:p>
    <w:p>
      <w:pPr>
        <w:pStyle w:val="Compact"/>
        <w:numPr>
          <w:ilvl w:val="0"/>
          <w:numId w:val="1002"/>
        </w:numPr>
      </w:pPr>
      <w:r>
        <w:t xml:space="preserve">Utilization of EU financial instruments such as the Neighborhood, Development and International Cooperation Instrument – Global Europe, including programs like EUROCLIMA+, Amazon Basin Project, and Caribbean Regional Resilience Development Instrument, to support climate change adaptation and environmental investments in Latin America and the Caribbean.</w:t>
      </w:r>
    </w:p>
    <w:p>
      <w:pPr>
        <w:pStyle w:val="Compact"/>
        <w:numPr>
          <w:ilvl w:val="0"/>
          <w:numId w:val="1002"/>
        </w:numPr>
      </w:pPr>
      <w:r>
        <w:t xml:space="preserve">Promotion of green bonds and financial instruments to protect biodiversity and facilitate debt-for-nature swaps.</w:t>
      </w:r>
    </w:p>
    <w:p>
      <w:pPr>
        <w:pStyle w:val="Compact"/>
        <w:numPr>
          <w:ilvl w:val="0"/>
          <w:numId w:val="1002"/>
        </w:numPr>
      </w:pPr>
      <w:r>
        <w:t xml:space="preserve">Support for international mechanisms and commitments under global environmental agreements (UNFCCC, Paris Agreement, CBD, Kunming-Montreal Framework, UNCCD, Bridgetown Initiative).</w:t>
      </w:r>
    </w:p>
    <w:p>
      <w:pPr>
        <w:pStyle w:val="Compact"/>
        <w:numPr>
          <w:ilvl w:val="0"/>
          <w:numId w:val="1002"/>
        </w:numPr>
      </w:pPr>
      <w:r>
        <w:t xml:space="preserve">Addressing the sargassum problem affecting Caribbean coastal economies through urgent international measures.</w:t>
      </w:r>
    </w:p>
    <w:p>
      <w:pPr>
        <w:pStyle w:val="Compact"/>
        <w:numPr>
          <w:ilvl w:val="0"/>
          <w:numId w:val="1002"/>
        </w:numPr>
      </w:pPr>
      <w:r>
        <w:t xml:space="preserve">Protection of press freedom and journalists, and safeguarding human rights defenders.</w:t>
      </w:r>
    </w:p>
    <w:p>
      <w:pPr>
        <w:pStyle w:val="Compact"/>
        <w:numPr>
          <w:ilvl w:val="0"/>
          <w:numId w:val="1002"/>
        </w:numPr>
      </w:pPr>
      <w:r>
        <w:t xml:space="preserve">Legislative and policy frameworks to combat femicides and gender-based violence, including promotion of a bi-regional care pact based on the European Care Strategy and Buenos Aires Commitment.</w:t>
      </w:r>
    </w:p>
    <w:p>
      <w:pPr>
        <w:pStyle w:val="Compact"/>
        <w:numPr>
          <w:ilvl w:val="0"/>
          <w:numId w:val="1002"/>
        </w:numPr>
      </w:pPr>
      <w:r>
        <w:t xml:space="preserve">Support for the UN Security Council resolution establishing the Multinational Security Support Mission in Haiti to assist the Haitian National Police and promote peace, stability, and security, with calls for international solidarity and cooperation respecting Haitian authorities’ consent.</w:t>
      </w:r>
    </w:p>
    <w:p>
      <w:pPr>
        <w:pStyle w:val="Compact"/>
        <w:numPr>
          <w:ilvl w:val="0"/>
          <w:numId w:val="1002"/>
        </w:numPr>
      </w:pPr>
      <w:r>
        <w:t xml:space="preserve">Calls for international efforts to promote social and economic development in Haiti to combat poverty and maintain long-term stability.</w:t>
      </w:r>
    </w:p>
    <w:bookmarkEnd w:id="24"/>
    <w:bookmarkStart w:id="25" w:name="commitments"/>
    <w:p>
      <w:pPr>
        <w:pStyle w:val="Heading2"/>
      </w:pPr>
      <w:r>
        <w:t xml:space="preserve">Commitments</w:t>
      </w:r>
    </w:p>
    <w:p>
      <w:pPr>
        <w:pStyle w:val="Compact"/>
        <w:numPr>
          <w:ilvl w:val="0"/>
          <w:numId w:val="1003"/>
        </w:numPr>
      </w:pPr>
      <w:r>
        <w:t xml:space="preserve">European Union Global Gateway investment program for Latin America and the Caribbean: up to €45 billion until 2027.</w:t>
      </w:r>
    </w:p>
    <w:p>
      <w:pPr>
        <w:pStyle w:val="Compact"/>
        <w:numPr>
          <w:ilvl w:val="0"/>
          <w:numId w:val="1003"/>
        </w:numPr>
      </w:pPr>
      <w:r>
        <w:t xml:space="preserve">Commitment to hold a new EU-CELAC bi-regional summit in 2025 in the CELAC region.</w:t>
      </w:r>
    </w:p>
    <w:p>
      <w:pPr>
        <w:pStyle w:val="Compact"/>
        <w:numPr>
          <w:ilvl w:val="0"/>
          <w:numId w:val="1003"/>
        </w:numPr>
      </w:pPr>
      <w:r>
        <w:t xml:space="preserve">Commitment by developed countries to double climate change adaptation financing by 2025.</w:t>
      </w:r>
    </w:p>
    <w:p>
      <w:pPr>
        <w:pStyle w:val="Compact"/>
        <w:numPr>
          <w:ilvl w:val="0"/>
          <w:numId w:val="1003"/>
        </w:numPr>
      </w:pPr>
      <w:r>
        <w:t xml:space="preserve">Urgent ratification of the EU-Central America Association Agreement, modernization of Association Agreements with Mexico and Chile, and urgent ratification of the EU-Mercosur Association Agreement (covering 780 million inhabitants), with expectation of signing the latter as soon as possible.</w:t>
      </w:r>
    </w:p>
    <w:p>
      <w:pPr>
        <w:pStyle w:val="Compact"/>
        <w:numPr>
          <w:ilvl w:val="0"/>
          <w:numId w:val="1003"/>
        </w:numPr>
      </w:pPr>
      <w:r>
        <w:t xml:space="preserve">Support for visa exemption for short-term entries to the EU for citizens of the Dominican Republic and Ecuador.</w:t>
      </w:r>
    </w:p>
    <w:p>
      <w:pPr>
        <w:pStyle w:val="Compact"/>
        <w:numPr>
          <w:ilvl w:val="0"/>
          <w:numId w:val="1003"/>
        </w:numPr>
      </w:pPr>
      <w:r>
        <w:t xml:space="preserve">Support for the creation of the Common Higher Education, Science, Technology and Innovation Area as a pillar of the EU-LAC Strategic Partnership, based on the proposal from the V Academic Summit of Alcalá de Henares.</w:t>
      </w:r>
    </w:p>
    <w:p>
      <w:pPr>
        <w:pStyle w:val="Compact"/>
        <w:numPr>
          <w:ilvl w:val="0"/>
          <w:numId w:val="1003"/>
        </w:numPr>
      </w:pPr>
      <w:r>
        <w:t xml:space="preserve">Recognition of the COP28 in Dubai in 2023 as the first global stocktake of the Paris Agreement halfway to its goals.</w:t>
      </w:r>
    </w:p>
    <w:p>
      <w:pPr>
        <w:pStyle w:val="Compact"/>
        <w:numPr>
          <w:ilvl w:val="0"/>
          <w:numId w:val="1003"/>
        </w:numPr>
      </w:pPr>
      <w:r>
        <w:t xml:space="preserve">Call for urgent measures to address the sargassum problem affecting Caribbean coastal economies and ecosystems.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2025-06-19T16:47:40Z</dcterms:created>
  <dcterms:modified xsi:type="dcterms:W3CDTF">2025-06-19T16:47:40Z</dcterms:modified>
</cp:coreProperties>
</file>

<file path=docProps/custom.xml><?xml version="1.0" encoding="utf-8"?>
<Properties xmlns="http://schemas.openxmlformats.org/officeDocument/2006/custom-properties" xmlns:vt="http://schemas.openxmlformats.org/officeDocument/2006/docPropsVTypes"/>
</file>