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0abee2bfb573f33db68d431908fc76d0053c4d"/>
    <w:p>
      <w:pPr>
        <w:pStyle w:val="Heading1"/>
      </w:pPr>
      <w:r>
        <w:t xml:space="preserve">Joint Communiqué of the Presidents of MERCOSUR Member and Associated States – 62nd MERCOSUR Summit Meeting, July 4, 2023</w:t>
      </w:r>
    </w:p>
    <w:p>
      <w:pPr>
        <w:pStyle w:val="FirstParagraph"/>
      </w:pPr>
      <w:r>
        <w:rPr>
          <w:b/>
          <w:bCs/>
        </w:rPr>
        <w:t xml:space="preserve">Date</w:t>
      </w:r>
      <w:r>
        <w:t xml:space="preserve">: 2023-07-04</w:t>
      </w:r>
    </w:p>
    <w:p>
      <w:pPr>
        <w:pStyle w:val="BodyText"/>
      </w:pPr>
      <w:r>
        <w:rPr>
          <w:b/>
          <w:bCs/>
        </w:rPr>
        <w:t xml:space="preserve">Location</w:t>
      </w:r>
      <w:r>
        <w:t xml:space="preserve">: Iguazú, Argentina</w:t>
      </w:r>
    </w:p>
    <w:bookmarkStart w:id="20" w:name="executive-summary"/>
    <w:p>
      <w:pPr>
        <w:pStyle w:val="Heading2"/>
      </w:pPr>
      <w:r>
        <w:t xml:space="preserve">Executive Summary</w:t>
      </w:r>
    </w:p>
    <w:p>
      <w:pPr>
        <w:pStyle w:val="FirstParagraph"/>
      </w:pPr>
      <w:r>
        <w:t xml:space="preserve">The 62nd MERCOSUR Summit held in Iguazú, Argentina, on July 4, 2023, reaffirmed commitments to democracy, human rights, and regional integration among member and associated states. Key outcomes included strengthening political inclusion, reviving the MERCOSUR Social Summit, advancing legal cooperation, and promoting cultural initiatives such as the MERCOSUR Digital Library and recognition of the ESMA Memory Museum. The summit emphasized social issues, including protection of older persons, combating gender violence, and supporting indigenous and Afro-descendant rights. It condemned terrorism, reinforced cooperation against transnational crime, and advocated for safe, orderly migration respecting human rights. Environmental concerns were addressed with commitments to combat climate change, biodiversity loss, and pollution, alongside support for sustainable development and renewable energy. The summit also highlighted infrastructure projects like Bioceanic Corridors to boost regional connectivity and economic growth. Participants endorsed multilateralism, the reform of the UN Security Council, and the full implementation of the 2030 Sustainable Development Agenda, while supporting Argentina’s sovereignty claims over the Malvinas Islands.</w:t>
      </w:r>
    </w:p>
    <w:bookmarkEnd w:id="20"/>
    <w:bookmarkStart w:id="21" w:name="characteristics"/>
    <w:p>
      <w:pPr>
        <w:pStyle w:val="Heading2"/>
      </w:pPr>
      <w:r>
        <w:t xml:space="preserve">Characteristics</w:t>
      </w:r>
    </w:p>
    <w:p>
      <w:pPr>
        <w:pStyle w:val="Compact"/>
        <w:numPr>
          <w:ilvl w:val="0"/>
          <w:numId w:val="1001"/>
        </w:numPr>
      </w:pPr>
      <w:r>
        <w:t xml:space="preserve">Reaffirmed commitment to democracy, rule of law, human rights, and fundamental freedoms as essential for regional integration.</w:t>
      </w:r>
    </w:p>
    <w:p>
      <w:pPr>
        <w:pStyle w:val="Compact"/>
        <w:numPr>
          <w:ilvl w:val="0"/>
          <w:numId w:val="1001"/>
        </w:numPr>
      </w:pPr>
      <w:r>
        <w:t xml:space="preserve">Emphasized strengthening political inclusion of associate states and revitalizing the MERCOSUR Social Summit for civil society participation.</w:t>
      </w:r>
    </w:p>
    <w:p>
      <w:pPr>
        <w:pStyle w:val="Compact"/>
        <w:numPr>
          <w:ilvl w:val="0"/>
          <w:numId w:val="1001"/>
        </w:numPr>
      </w:pPr>
      <w:r>
        <w:t xml:space="preserve">Highlighted cooperation in justice, culture, social development, gender equality, indigenous and Afro-descendant rights, and combating violence and discrimination.</w:t>
      </w:r>
    </w:p>
    <w:p>
      <w:pPr>
        <w:pStyle w:val="Compact"/>
        <w:numPr>
          <w:ilvl w:val="0"/>
          <w:numId w:val="1001"/>
        </w:numPr>
      </w:pPr>
      <w:r>
        <w:t xml:space="preserve">Committed to addressing migration humanely, enhancing regional security, fighting organized crime, and promoting sustainable development and environmental protection.</w:t>
      </w:r>
    </w:p>
    <w:p>
      <w:pPr>
        <w:pStyle w:val="Compact"/>
        <w:numPr>
          <w:ilvl w:val="0"/>
          <w:numId w:val="1001"/>
        </w:numPr>
      </w:pPr>
      <w:r>
        <w:t xml:space="preserve">Supported regional infrastructure projects like Bioceanic Corridors to boost economic integration, trade, and connectivity.</w:t>
      </w:r>
    </w:p>
    <w:p>
      <w:pPr>
        <w:pStyle w:val="Compact"/>
        <w:numPr>
          <w:ilvl w:val="0"/>
          <w:numId w:val="1001"/>
        </w:numPr>
      </w:pPr>
      <w:r>
        <w:t xml:space="preserve">Reiterated support for Argentina’s sovereignty claims over the Malvinas Islands and called for peaceful resolution per UN mandates.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Governments; Government Officials; Policy Level Representatives; Southern Common Market; United Nations</w:t>
            </w:r>
          </w:p>
        </w:tc>
      </w:tr>
      <w:tr>
        <w:tc>
          <w:tcPr/>
          <w:p>
            <w:pPr>
              <w:pStyle w:val="Compact"/>
            </w:pPr>
            <w:r>
              <w:t xml:space="preserve">Economic Actors</w:t>
            </w:r>
          </w:p>
        </w:tc>
        <w:tc>
          <w:tcPr/>
          <w:p>
            <w:pPr>
              <w:pStyle w:val="Compact"/>
            </w:pPr>
            <w:r>
              <w:t xml:space="preserve">Development Bank of Latin America and the Caribbean</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Agenda; Digital Platforms; Digital Ecosystem; Digital Policy</w:t>
            </w:r>
          </w:p>
        </w:tc>
      </w:tr>
      <w:tr>
        <w:tc>
          <w:tcPr/>
          <w:p>
            <w:pPr>
              <w:pStyle w:val="Compact"/>
            </w:pPr>
            <w:r>
              <w:t xml:space="preserve">Data &amp; Governance</w:t>
            </w:r>
          </w:p>
        </w:tc>
        <w:tc>
          <w:tcPr/>
          <w:p>
            <w:pPr>
              <w:pStyle w:val="Compact"/>
            </w:pPr>
            <w:r>
              <w:t xml:space="preserve">Digital Governance; Digital Rights; Digital Ethics; E-Governance</w:t>
            </w:r>
          </w:p>
        </w:tc>
      </w:tr>
      <w:tr>
        <w:tc>
          <w:tcPr/>
          <w:p>
            <w:pPr>
              <w:pStyle w:val="Compact"/>
            </w:pPr>
            <w:r>
              <w:t xml:space="preserve">Inclusion &amp; Social Development</w:t>
            </w:r>
          </w:p>
        </w:tc>
        <w:tc>
          <w:tcPr/>
          <w:p>
            <w:pPr>
              <w:pStyle w:val="Compact"/>
            </w:pPr>
            <w:r>
              <w:t xml:space="preserve">Digital Inclusion; Social Cohesion</w:t>
            </w:r>
          </w:p>
        </w:tc>
      </w:tr>
      <w:tr>
        <w:tc>
          <w:tcPr/>
          <w:p>
            <w:pPr>
              <w:pStyle w:val="Compact"/>
            </w:pPr>
            <w:r>
              <w:t xml:space="preserve">Regional &amp; International Cooperation</w:t>
            </w:r>
          </w:p>
        </w:tc>
        <w:tc>
          <w:tcPr/>
          <w:p>
            <w:pPr>
              <w:pStyle w:val="Compact"/>
            </w:pPr>
            <w:r>
              <w:t xml:space="preserve">Multilateralism; Bi-regional Cooperation; Global Digital Cooperation;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Continuation and deepening of the MERCOSUR POLÍTICO forum to include greater participation of Associated States in regional political affairs.</w:t>
      </w:r>
    </w:p>
    <w:p>
      <w:pPr>
        <w:pStyle w:val="Compact"/>
        <w:numPr>
          <w:ilvl w:val="0"/>
          <w:numId w:val="1002"/>
        </w:numPr>
      </w:pPr>
      <w:r>
        <w:t xml:space="preserve">Regular celebration of the MERCOSUR Social Summit as a platform for social movements, NGOs, and organized communities to express their needs and initiatives.</w:t>
      </w:r>
    </w:p>
    <w:p>
      <w:pPr>
        <w:pStyle w:val="Compact"/>
        <w:numPr>
          <w:ilvl w:val="0"/>
          <w:numId w:val="1002"/>
        </w:numPr>
      </w:pPr>
      <w:r>
        <w:t xml:space="preserve">Implementation of the “Agreement on Mutual Recognition of Protection Measures for Women in Situations of Gender Violence” among MERCOSUR and Associated States.</w:t>
      </w:r>
    </w:p>
    <w:p>
      <w:pPr>
        <w:pStyle w:val="Compact"/>
        <w:numPr>
          <w:ilvl w:val="0"/>
          <w:numId w:val="1002"/>
        </w:numPr>
      </w:pPr>
      <w:r>
        <w:t xml:space="preserve">Establishment of mechanisms for normative harmonization and regional cooperation on marriage, personal and patrimonial relations between spouses, divorce, separation, and dissolution of cohabitation unions.</w:t>
      </w:r>
    </w:p>
    <w:p>
      <w:pPr>
        <w:pStyle w:val="Compact"/>
        <w:numPr>
          <w:ilvl w:val="0"/>
          <w:numId w:val="1002"/>
        </w:numPr>
      </w:pPr>
      <w:r>
        <w:t xml:space="preserve">Promotion of regional cultural integration through actions such as the MERCOSUR Film Exhibition, virtual talks on memory sites, university arts festivals, and the upcoming 2024 Southern Cultural Industries Market in Chile.</w:t>
      </w:r>
    </w:p>
    <w:p>
      <w:pPr>
        <w:pStyle w:val="Compact"/>
        <w:numPr>
          <w:ilvl w:val="0"/>
          <w:numId w:val="1002"/>
        </w:numPr>
      </w:pPr>
      <w:r>
        <w:t xml:space="preserve">Incorporation of the ESMA Memory Site Museum as a Cultural Asset of MERCOSUR to support human rights promotion and defense policies.</w:t>
      </w:r>
    </w:p>
    <w:p>
      <w:pPr>
        <w:pStyle w:val="Compact"/>
        <w:numPr>
          <w:ilvl w:val="0"/>
          <w:numId w:val="1002"/>
        </w:numPr>
      </w:pPr>
      <w:r>
        <w:t xml:space="preserve">Negotiation and advancement of an audiovisual co-production agreement to strengthen the regional film and audiovisual industry.</w:t>
      </w:r>
    </w:p>
    <w:p>
      <w:pPr>
        <w:pStyle w:val="Compact"/>
        <w:numPr>
          <w:ilvl w:val="0"/>
          <w:numId w:val="1002"/>
        </w:numPr>
      </w:pPr>
      <w:r>
        <w:t xml:space="preserve">Creation and promotion of the MERCOSUR and South American Digital Library for free access to texts on Latin American unity and integration.</w:t>
      </w:r>
    </w:p>
    <w:p>
      <w:pPr>
        <w:pStyle w:val="Compact"/>
        <w:numPr>
          <w:ilvl w:val="0"/>
          <w:numId w:val="1002"/>
        </w:numPr>
      </w:pPr>
      <w:r>
        <w:t xml:space="preserve">Adoption of the Recommendation on</w:t>
      </w:r>
      <w:r>
        <w:t xml:space="preserve"> </w:t>
      </w:r>
      <w:r>
        <w:t xml:space="preserve">“Comprehensive Protection of the Rights of Older Persons”</w:t>
      </w:r>
      <w:r>
        <w:t xml:space="preserve"> </w:t>
      </w:r>
      <w:r>
        <w:t xml:space="preserve">to promote inclusive public policies.</w:t>
      </w:r>
    </w:p>
    <w:p>
      <w:pPr>
        <w:pStyle w:val="Compact"/>
        <w:numPr>
          <w:ilvl w:val="0"/>
          <w:numId w:val="1002"/>
        </w:numPr>
      </w:pPr>
      <w:r>
        <w:t xml:space="preserve">Commitment to preventing, sanctioning, and eradicating violence against women, promoting their participation in politics and public life, and supporting the Regional Network of Mediators of the Southern Cone.</w:t>
      </w:r>
    </w:p>
    <w:p>
      <w:pPr>
        <w:pStyle w:val="Compact"/>
        <w:numPr>
          <w:ilvl w:val="0"/>
          <w:numId w:val="1002"/>
        </w:numPr>
      </w:pPr>
      <w:r>
        <w:t xml:space="preserve">Strengthening public policies to foster a democratic culture based on respect and equality, combating hate speech, discrimination, intolerance, and inequality.</w:t>
      </w:r>
    </w:p>
    <w:p>
      <w:pPr>
        <w:pStyle w:val="Compact"/>
        <w:numPr>
          <w:ilvl w:val="0"/>
          <w:numId w:val="1002"/>
        </w:numPr>
      </w:pPr>
      <w:r>
        <w:t xml:space="preserve">Preservation, revitalization, and promotion of indigenous languages within the framework of the International Decade of Indigenous Languages.</w:t>
      </w:r>
    </w:p>
    <w:p>
      <w:pPr>
        <w:pStyle w:val="Compact"/>
        <w:numPr>
          <w:ilvl w:val="0"/>
          <w:numId w:val="1002"/>
        </w:numPr>
      </w:pPr>
      <w:r>
        <w:t xml:space="preserve">Combatting racial discrimination and strengthening mechanisms to ensure full access to education, justice, and health for Afro-descendant populations.</w:t>
      </w:r>
    </w:p>
    <w:p>
      <w:pPr>
        <w:pStyle w:val="Compact"/>
        <w:numPr>
          <w:ilvl w:val="0"/>
          <w:numId w:val="1002"/>
        </w:numPr>
      </w:pPr>
      <w:r>
        <w:t xml:space="preserve">Balanced and integrated approach to the global drug problem, focusing on combating illicit trafficking and providing prevention and care with ethnic, gender, and human rights perspectives.</w:t>
      </w:r>
    </w:p>
    <w:p>
      <w:pPr>
        <w:pStyle w:val="Compact"/>
        <w:numPr>
          <w:ilvl w:val="0"/>
          <w:numId w:val="1002"/>
        </w:numPr>
      </w:pPr>
      <w:r>
        <w:t xml:space="preserve">Strengthening cooperation to prevent and combat terrorism and its financing.</w:t>
      </w:r>
    </w:p>
    <w:p>
      <w:pPr>
        <w:pStyle w:val="Compact"/>
        <w:numPr>
          <w:ilvl w:val="0"/>
          <w:numId w:val="1002"/>
        </w:numPr>
      </w:pPr>
      <w:r>
        <w:t xml:space="preserve">Regional cooperation to fight transnational organized crime, including illegal mining, arms trafficking, human trafficking, and migrant smuggling, with emphasis on criminal investigation capacities and information exchange through the MERCOSUR Security Information System (SISME).</w:t>
      </w:r>
    </w:p>
    <w:p>
      <w:pPr>
        <w:pStyle w:val="Compact"/>
        <w:numPr>
          <w:ilvl w:val="0"/>
          <w:numId w:val="1002"/>
        </w:numPr>
      </w:pPr>
      <w:r>
        <w:t xml:space="preserve">Strengthening access to justice for older persons through the work of the MERCOSUR Public Defenders’ Specialized Meeting.</w:t>
      </w:r>
    </w:p>
    <w:p>
      <w:pPr>
        <w:pStyle w:val="Compact"/>
        <w:numPr>
          <w:ilvl w:val="0"/>
          <w:numId w:val="1002"/>
        </w:numPr>
      </w:pPr>
      <w:r>
        <w:t xml:space="preserve">Prevention and fight against illicit manufacturing and trafficking of firearms, ammunition, explosives, and related materials, including implementation of the MERCOSUR Regional Correspondence Code on Arms.</w:t>
      </w:r>
    </w:p>
    <w:p>
      <w:pPr>
        <w:pStyle w:val="Compact"/>
        <w:numPr>
          <w:ilvl w:val="0"/>
          <w:numId w:val="1002"/>
        </w:numPr>
      </w:pPr>
      <w:r>
        <w:t xml:space="preserve">Promotion of safe, orderly, regular, and humane migration respecting migrants’ human rights, with cooperation involving the MERCOSUR Specialized Migration Forum and the Development Bank of Latin America (CAF).</w:t>
      </w:r>
    </w:p>
    <w:p>
      <w:pPr>
        <w:pStyle w:val="Compact"/>
        <w:numPr>
          <w:ilvl w:val="0"/>
          <w:numId w:val="1002"/>
        </w:numPr>
      </w:pPr>
      <w:r>
        <w:t xml:space="preserve">Encouragement for countries to ratify the MERCOSUR Border Localities Agreement to facilitate cross-border circulation and provide benefits in education, work, health, transport, and subsistence goods trade.</w:t>
      </w:r>
    </w:p>
    <w:p>
      <w:pPr>
        <w:pStyle w:val="Compact"/>
        <w:numPr>
          <w:ilvl w:val="0"/>
          <w:numId w:val="1002"/>
        </w:numPr>
      </w:pPr>
      <w:r>
        <w:t xml:space="preserve">Strengthening consular cooperation mechanisms among MERCOSUR States, including in natural disasters and emergencies.</w:t>
      </w:r>
    </w:p>
    <w:p>
      <w:pPr>
        <w:pStyle w:val="Compact"/>
        <w:numPr>
          <w:ilvl w:val="0"/>
          <w:numId w:val="1002"/>
        </w:numPr>
      </w:pPr>
      <w:r>
        <w:t xml:space="preserve">Support for Argentina’s legitimate sovereignty claims over the Malvinas Islands and promotion of peaceful dispute resolution through UN good offices.</w:t>
      </w:r>
    </w:p>
    <w:p>
      <w:pPr>
        <w:pStyle w:val="Compact"/>
        <w:numPr>
          <w:ilvl w:val="0"/>
          <w:numId w:val="1002"/>
        </w:numPr>
      </w:pPr>
      <w:r>
        <w:t xml:space="preserve">Efforts to overcome asymmetries among MERCOSUR States and Associated States, including common instruments to ensure smooth trade under transparent rules for international land and river transport.</w:t>
      </w:r>
    </w:p>
    <w:p>
      <w:pPr>
        <w:pStyle w:val="Compact"/>
        <w:numPr>
          <w:ilvl w:val="0"/>
          <w:numId w:val="1002"/>
        </w:numPr>
      </w:pPr>
      <w:r>
        <w:t xml:space="preserve">Commitment to the Vienna Program of Action addressing special development needs of Landlocked Developing Countries, including participation in the 2023 regional review conference.</w:t>
      </w:r>
    </w:p>
    <w:p>
      <w:pPr>
        <w:pStyle w:val="Compact"/>
        <w:numPr>
          <w:ilvl w:val="0"/>
          <w:numId w:val="1002"/>
        </w:numPr>
      </w:pPr>
      <w:r>
        <w:t xml:space="preserve">Support for multilateralism, including reform of the UN Security Council and strengthening the UN Human Rights Council.</w:t>
      </w:r>
    </w:p>
    <w:p>
      <w:pPr>
        <w:pStyle w:val="Compact"/>
        <w:numPr>
          <w:ilvl w:val="0"/>
          <w:numId w:val="1002"/>
        </w:numPr>
      </w:pPr>
      <w:r>
        <w:t xml:space="preserve">Full implementation of the 2030 Agenda for Sustainable Development with mobilization of necessary means and respect for national policies and priorities.</w:t>
      </w:r>
    </w:p>
    <w:p>
      <w:pPr>
        <w:pStyle w:val="Compact"/>
        <w:numPr>
          <w:ilvl w:val="0"/>
          <w:numId w:val="1002"/>
        </w:numPr>
      </w:pPr>
      <w:r>
        <w:t xml:space="preserve">Collaborative work on climate change, pollution, biodiversity loss, and environmental crimes, emphasizing sustainable, ambitious, and rights-based solutions.</w:t>
      </w:r>
    </w:p>
    <w:p>
      <w:pPr>
        <w:pStyle w:val="Compact"/>
        <w:numPr>
          <w:ilvl w:val="0"/>
          <w:numId w:val="1002"/>
        </w:numPr>
      </w:pPr>
      <w:r>
        <w:t xml:space="preserve">Recognition of the need for financing, capacity building, scientific and technical cooperation, and technology transfer from developed to developing countries for environmental goals.</w:t>
      </w:r>
    </w:p>
    <w:p>
      <w:pPr>
        <w:pStyle w:val="Compact"/>
        <w:numPr>
          <w:ilvl w:val="0"/>
          <w:numId w:val="1002"/>
        </w:numPr>
      </w:pPr>
      <w:r>
        <w:t xml:space="preserve">Support for the Kunming-Montreal Global Biodiversity Framework and call for international financing for its implementation.</w:t>
      </w:r>
    </w:p>
    <w:p>
      <w:pPr>
        <w:pStyle w:val="Compact"/>
        <w:numPr>
          <w:ilvl w:val="0"/>
          <w:numId w:val="1002"/>
        </w:numPr>
      </w:pPr>
      <w:r>
        <w:t xml:space="preserve">Support for the Agreement on Conservation and Sustainable Use of Marine Biodiversity Beyond National Jurisdiction (BBNJ) and Chile’s offer to host its Secretariat.</w:t>
      </w:r>
    </w:p>
    <w:p>
      <w:pPr>
        <w:pStyle w:val="Compact"/>
        <w:numPr>
          <w:ilvl w:val="0"/>
          <w:numId w:val="1002"/>
        </w:numPr>
      </w:pPr>
      <w:r>
        <w:t xml:space="preserve">Support for Brazil’s candidacy to host the 30th UN Climate Change Conference (COP30) in 2025.</w:t>
      </w:r>
    </w:p>
    <w:p>
      <w:pPr>
        <w:pStyle w:val="Compact"/>
        <w:numPr>
          <w:ilvl w:val="0"/>
          <w:numId w:val="1002"/>
        </w:numPr>
      </w:pPr>
      <w:r>
        <w:t xml:space="preserve">Promotion of Bioceanic Corridors projects to enhance socioeconomic development, regional integration, trade, investment, tourism, and quality of life, including the Bioceanic Railway Integration Project and the Bioceanic Road Corridor.</w:t>
      </w:r>
    </w:p>
    <w:p>
      <w:pPr>
        <w:pStyle w:val="Compact"/>
        <w:numPr>
          <w:ilvl w:val="0"/>
          <w:numId w:val="1002"/>
        </w:numPr>
      </w:pPr>
      <w:r>
        <w:t xml:space="preserve">Strengthening rapprochement and convergence between MERCOSUR and the Andean Community in areas of mutual interest.</w:t>
      </w:r>
    </w:p>
    <w:p>
      <w:pPr>
        <w:pStyle w:val="Compact"/>
        <w:numPr>
          <w:ilvl w:val="0"/>
          <w:numId w:val="1002"/>
        </w:numPr>
      </w:pPr>
      <w:r>
        <w:t xml:space="preserve">Deepening cooperation in agriculture, science, and technology to improve production and productivity.</w:t>
      </w:r>
    </w:p>
    <w:p>
      <w:pPr>
        <w:pStyle w:val="Compact"/>
        <w:numPr>
          <w:ilvl w:val="0"/>
          <w:numId w:val="1002"/>
        </w:numPr>
      </w:pPr>
      <w:r>
        <w:t xml:space="preserve">Actions to guarantee food security, sustainable agricultural development, and fair, transparent, and predictable international agricultural trade.</w:t>
      </w:r>
    </w:p>
    <w:p>
      <w:pPr>
        <w:pStyle w:val="Compact"/>
        <w:numPr>
          <w:ilvl w:val="0"/>
          <w:numId w:val="1002"/>
        </w:numPr>
      </w:pPr>
      <w:r>
        <w:t xml:space="preserve">Promotion of agile mechanisms to strengthen South-South and Triangular Cooperation to enhance institutional capacities in prioritized sectors such as trade, agroindustry, digital agenda, human rights, science and technology, and climate change.</w:t>
      </w:r>
    </w:p>
    <w:p>
      <w:pPr>
        <w:pStyle w:val="Compact"/>
        <w:numPr>
          <w:ilvl w:val="0"/>
          <w:numId w:val="1002"/>
        </w:numPr>
      </w:pPr>
      <w:r>
        <w:t xml:space="preserve">Increase production and use of renewable energies and accelerate a sustainable, just, equitable, and inclusive energy transition.</w:t>
      </w:r>
    </w:p>
    <w:p>
      <w:pPr>
        <w:pStyle w:val="Compact"/>
        <w:numPr>
          <w:ilvl w:val="0"/>
          <w:numId w:val="1002"/>
        </w:numPr>
      </w:pPr>
      <w:r>
        <w:t xml:space="preserve">Efforts to prioritize border integration focusing on the needs of border populations within MERCOSUR.</w:t>
      </w:r>
    </w:p>
    <w:p>
      <w:pPr>
        <w:pStyle w:val="Compact"/>
        <w:numPr>
          <w:ilvl w:val="0"/>
          <w:numId w:val="1002"/>
        </w:numPr>
      </w:pPr>
      <w:r>
        <w:t xml:space="preserve">Utilization and improvement of MERCOSUR institutional spaces and specialized forums to deepen regional integration and achieve effective cooperation results, aligned with the Brazil Consensus from the South American Presidents Summit.</w:t>
      </w:r>
    </w:p>
    <w:bookmarkEnd w:id="24"/>
    <w:bookmarkStart w:id="25" w:name="commitments"/>
    <w:p>
      <w:pPr>
        <w:pStyle w:val="Heading2"/>
      </w:pPr>
      <w:r>
        <w:t xml:space="preserve">Commitments</w:t>
      </w:r>
    </w:p>
    <w:p>
      <w:pPr>
        <w:pStyle w:val="Compact"/>
        <w:numPr>
          <w:ilvl w:val="0"/>
          <w:numId w:val="1003"/>
        </w:numPr>
      </w:pPr>
      <w:r>
        <w:t xml:space="preserve">Continue and deepen the expansion of MERCOSUR POLÍTICO in future Pro Tempore Presidencies to increasingly reflect the diverse reality of the peoples of the expanded MERCOSUR.</w:t>
      </w:r>
    </w:p>
    <w:p>
      <w:pPr>
        <w:pStyle w:val="Compact"/>
        <w:numPr>
          <w:ilvl w:val="0"/>
          <w:numId w:val="1003"/>
        </w:numPr>
      </w:pPr>
      <w:r>
        <w:t xml:space="preserve">Continue holding the MERCOSUR Social Summit regularly as an important forum for social movements, NGOs, and organized communities to express their needs and initiatives.</w:t>
      </w:r>
    </w:p>
    <w:p>
      <w:pPr>
        <w:pStyle w:val="Compact"/>
        <w:numPr>
          <w:ilvl w:val="0"/>
          <w:numId w:val="1003"/>
        </w:numPr>
      </w:pPr>
      <w:r>
        <w:t xml:space="preserve">Facilitate the prompt coordinated and harmonious implementation of the “Agreement on Mutual Recognition of Protection Measures for Women in Situations of Gender Violence” among MERCOSUR Member and Associated States.</w:t>
      </w:r>
    </w:p>
    <w:p>
      <w:pPr>
        <w:pStyle w:val="Compact"/>
        <w:numPr>
          <w:ilvl w:val="0"/>
          <w:numId w:val="1003"/>
        </w:numPr>
      </w:pPr>
      <w:r>
        <w:t xml:space="preserve">Promote regional actions to integrate culture as a specific goal among the United Nations Sustainable Development Goals after 2030.</w:t>
      </w:r>
    </w:p>
    <w:p>
      <w:pPr>
        <w:pStyle w:val="Compact"/>
        <w:numPr>
          <w:ilvl w:val="0"/>
          <w:numId w:val="1003"/>
        </w:numPr>
      </w:pPr>
      <w:r>
        <w:t xml:space="preserve">Hold the Mercado de Industrias Culturales del Sur in Chile in 2024.</w:t>
      </w:r>
    </w:p>
    <w:p>
      <w:pPr>
        <w:pStyle w:val="Compact"/>
        <w:numPr>
          <w:ilvl w:val="0"/>
          <w:numId w:val="1003"/>
        </w:numPr>
      </w:pPr>
      <w:r>
        <w:t xml:space="preserve">Promote the adoption of the Recommendation on</w:t>
      </w:r>
      <w:r>
        <w:t xml:space="preserve"> </w:t>
      </w:r>
      <w:r>
        <w:t xml:space="preserve">“Comprehensive Protection of the Rights of Older Persons”</w:t>
      </w:r>
      <w:r>
        <w:t xml:space="preserve"> </w:t>
      </w:r>
      <w:r>
        <w:t xml:space="preserve">to strengthen and make effective the rights of older persons.</w:t>
      </w:r>
    </w:p>
    <w:p>
      <w:pPr>
        <w:pStyle w:val="Compact"/>
        <w:numPr>
          <w:ilvl w:val="0"/>
          <w:numId w:val="1003"/>
        </w:numPr>
      </w:pPr>
      <w:r>
        <w:t xml:space="preserve">Work to prevent, sanction, and eradicate violence against women and promote their participation in politics and public life, in accordance with international human rights instruments.</w:t>
      </w:r>
    </w:p>
    <w:p>
      <w:pPr>
        <w:pStyle w:val="Compact"/>
        <w:numPr>
          <w:ilvl w:val="0"/>
          <w:numId w:val="1003"/>
        </w:numPr>
      </w:pPr>
      <w:r>
        <w:t xml:space="preserve">Continue efforts to strengthen policies that foster a democratic culture based on respect and equality to combat all forms of discrimination, intolerance, and inequality.</w:t>
      </w:r>
    </w:p>
    <w:p>
      <w:pPr>
        <w:pStyle w:val="Compact"/>
        <w:numPr>
          <w:ilvl w:val="0"/>
          <w:numId w:val="1003"/>
        </w:numPr>
      </w:pPr>
      <w:r>
        <w:t xml:space="preserve">Continue working to preserve, revitalize, and promote indigenous languages within the framework of the International Decade of Indigenous Languages.</w:t>
      </w:r>
    </w:p>
    <w:p>
      <w:pPr>
        <w:pStyle w:val="Compact"/>
        <w:numPr>
          <w:ilvl w:val="0"/>
          <w:numId w:val="1003"/>
        </w:numPr>
      </w:pPr>
      <w:r>
        <w:t xml:space="preserve">Combat racial discrimination and strengthen mechanisms to guarantee full access and permanence of Afro-descendant populations in education, justice, and comprehensive health.</w:t>
      </w:r>
    </w:p>
    <w:p>
      <w:pPr>
        <w:pStyle w:val="Compact"/>
        <w:numPr>
          <w:ilvl w:val="0"/>
          <w:numId w:val="1003"/>
        </w:numPr>
      </w:pPr>
      <w:r>
        <w:t xml:space="preserve">Adopt balanced, integral, and articulated strategies to address the World Drug Problem, including prevention, care, and accompaniment for persons with consumption problems, with ethnic, gender, and human rights approaches.</w:t>
      </w:r>
    </w:p>
    <w:p>
      <w:pPr>
        <w:pStyle w:val="Compact"/>
        <w:numPr>
          <w:ilvl w:val="0"/>
          <w:numId w:val="1003"/>
        </w:numPr>
      </w:pPr>
      <w:r>
        <w:t xml:space="preserve">Strengthen cooperation to prevent and combat terrorism and its financing.</w:t>
      </w:r>
    </w:p>
    <w:p>
      <w:pPr>
        <w:pStyle w:val="Compact"/>
        <w:numPr>
          <w:ilvl w:val="0"/>
          <w:numId w:val="1003"/>
        </w:numPr>
      </w:pPr>
      <w:r>
        <w:t xml:space="preserve">Strengthen regional cooperation in the fight against transnational organized crime and related offenses, emphasizing criminal investigation capacities and the pursuit of money laundering.</w:t>
      </w:r>
    </w:p>
    <w:p>
      <w:pPr>
        <w:pStyle w:val="Compact"/>
        <w:numPr>
          <w:ilvl w:val="0"/>
          <w:numId w:val="1003"/>
        </w:numPr>
      </w:pPr>
      <w:r>
        <w:t xml:space="preserve">Continue strengthening cooperation and coordination in the search for missing persons or persons of unknown identity.</w:t>
      </w:r>
    </w:p>
    <w:p>
      <w:pPr>
        <w:pStyle w:val="Compact"/>
        <w:numPr>
          <w:ilvl w:val="0"/>
          <w:numId w:val="1003"/>
        </w:numPr>
      </w:pPr>
      <w:r>
        <w:t xml:space="preserve">Continue strengthening cooperation on firearms and ammunition control, including implementing the MERCOSUR Regional Correspondence Code on Arms, with a gender perspective.</w:t>
      </w:r>
    </w:p>
    <w:p>
      <w:pPr>
        <w:pStyle w:val="Compact"/>
        <w:numPr>
          <w:ilvl w:val="0"/>
          <w:numId w:val="1003"/>
        </w:numPr>
      </w:pPr>
      <w:r>
        <w:t xml:space="preserve">Continue advancing the MERCOSUR Specialized Forum on Migration, promoting safe, orderly, regular, and humane migration respecting human rights.</w:t>
      </w:r>
    </w:p>
    <w:p>
      <w:pPr>
        <w:pStyle w:val="Compact"/>
        <w:numPr>
          <w:ilvl w:val="0"/>
          <w:numId w:val="1003"/>
        </w:numPr>
      </w:pPr>
      <w:r>
        <w:t xml:space="preserve">Encourage countries that have not yet ratified the MERCOSUR Border Localities Agreement to evaluate ratification to facilitate border circulation and provide benefits in study, work, health, transport, and subsistence goods trade.</w:t>
      </w:r>
    </w:p>
    <w:p>
      <w:pPr>
        <w:pStyle w:val="Compact"/>
        <w:numPr>
          <w:ilvl w:val="0"/>
          <w:numId w:val="1003"/>
        </w:numPr>
      </w:pPr>
      <w:r>
        <w:t xml:space="preserve">Evaluate the impact of new electronic travel authorization requirements (e.g., ETIAS) on regional migration flows and consider adopting a common position.</w:t>
      </w:r>
    </w:p>
    <w:p>
      <w:pPr>
        <w:pStyle w:val="Compact"/>
        <w:numPr>
          <w:ilvl w:val="0"/>
          <w:numId w:val="1003"/>
        </w:numPr>
      </w:pPr>
      <w:r>
        <w:t xml:space="preserve">Request the next Pro Tempore Presidency to renew efforts with the UN Secretary-General to resume negotiations for a peaceful solution to the sovereignty dispute over the Malvinas Islands as soon as possible.</w:t>
      </w:r>
    </w:p>
    <w:p>
      <w:pPr>
        <w:pStyle w:val="Compact"/>
        <w:numPr>
          <w:ilvl w:val="0"/>
          <w:numId w:val="1003"/>
        </w:numPr>
      </w:pPr>
      <w:r>
        <w:t xml:space="preserve">Generate common instruments to guarantee smooth trade under transparent principles and rules for international land and river transport in the region.</w:t>
      </w:r>
    </w:p>
    <w:p>
      <w:pPr>
        <w:pStyle w:val="Compact"/>
        <w:numPr>
          <w:ilvl w:val="0"/>
          <w:numId w:val="1003"/>
        </w:numPr>
      </w:pPr>
      <w:r>
        <w:t xml:space="preserve">Fully implement the WTO Trade Facilitation Agreement to counteract high trade costs faced by Landlocked Developing Countries.</w:t>
      </w:r>
    </w:p>
    <w:p>
      <w:pPr>
        <w:pStyle w:val="Compact"/>
        <w:numPr>
          <w:ilvl w:val="0"/>
          <w:numId w:val="1003"/>
        </w:numPr>
      </w:pPr>
      <w:r>
        <w:t xml:space="preserve">Reinforce cooperation on sustainable development challenges of Landlocked Developing Countries, supporting the regional review conference for the 2014-2024 Decade on July 27-28, 2023, in Asunción, Paraguay.</w:t>
      </w:r>
    </w:p>
    <w:p>
      <w:pPr>
        <w:pStyle w:val="Compact"/>
        <w:numPr>
          <w:ilvl w:val="0"/>
          <w:numId w:val="1003"/>
        </w:numPr>
      </w:pPr>
      <w:r>
        <w:t xml:space="preserve">Renew commitment to the full implementation of the 2030 Agenda for Sustainable Development, mobilizing necessary means and respecting national policies and priorities.</w:t>
      </w:r>
    </w:p>
    <w:p>
      <w:pPr>
        <w:pStyle w:val="Compact"/>
        <w:numPr>
          <w:ilvl w:val="0"/>
          <w:numId w:val="1003"/>
        </w:numPr>
      </w:pPr>
      <w:r>
        <w:t xml:space="preserve">Work constructively and collaboratively in multilateral processes to urgently address climate change, pollution (especially plastic pollution), and biodiversity loss, applying the Rio Declaration principles and common but differentiated responsibilities.</w:t>
      </w:r>
    </w:p>
    <w:p>
      <w:pPr>
        <w:pStyle w:val="Compact"/>
        <w:numPr>
          <w:ilvl w:val="0"/>
          <w:numId w:val="1003"/>
        </w:numPr>
      </w:pPr>
      <w:r>
        <w:t xml:space="preserve">Strengthen regional cooperation to combat environmental crimes.</w:t>
      </w:r>
    </w:p>
    <w:p>
      <w:pPr>
        <w:pStyle w:val="Compact"/>
        <w:numPr>
          <w:ilvl w:val="0"/>
          <w:numId w:val="1003"/>
        </w:numPr>
      </w:pPr>
      <w:r>
        <w:t xml:space="preserve">Support the provision of financing, capacity building, scientific and technical cooperation, and technology transfer on preferential and concessional terms from developed to developing countries to achieve environmental objectives.</w:t>
      </w:r>
    </w:p>
    <w:p>
      <w:pPr>
        <w:pStyle w:val="Compact"/>
        <w:numPr>
          <w:ilvl w:val="0"/>
          <w:numId w:val="1003"/>
        </w:numPr>
      </w:pPr>
      <w:r>
        <w:t xml:space="preserve">Support the effective implementation of the Kunming-Montreal Global Biodiversity Framework, urging the international community to provide necessary financing.</w:t>
      </w:r>
    </w:p>
    <w:p>
      <w:pPr>
        <w:pStyle w:val="Compact"/>
        <w:numPr>
          <w:ilvl w:val="0"/>
          <w:numId w:val="1003"/>
        </w:numPr>
      </w:pPr>
      <w:r>
        <w:t xml:space="preserve">Support the implementation of the Agreement on the Conservation and Sustainable Use of Marine Biodiversity Beyond National Jurisdiction (BBNJ).</w:t>
      </w:r>
    </w:p>
    <w:p>
      <w:pPr>
        <w:pStyle w:val="Compact"/>
        <w:numPr>
          <w:ilvl w:val="0"/>
          <w:numId w:val="1003"/>
        </w:numPr>
      </w:pPr>
      <w:r>
        <w:t xml:space="preserve">Support Brazil’s candidacy to host the 30th Conference of the Parties to the UN Framework Convention on Climate Change (COP-30) in 2025 in Belém do Pará.</w:t>
      </w:r>
    </w:p>
    <w:p>
      <w:pPr>
        <w:pStyle w:val="Compact"/>
        <w:numPr>
          <w:ilvl w:val="0"/>
          <w:numId w:val="1003"/>
        </w:numPr>
      </w:pPr>
      <w:r>
        <w:t xml:space="preserve">Promote the development of Bioceanic Corridors projects to enhance socioeconomic development, physical integration, trade, investment, tourism, and job opportunities in the region.</w:t>
      </w:r>
    </w:p>
    <w:p>
      <w:pPr>
        <w:pStyle w:val="Compact"/>
        <w:numPr>
          <w:ilvl w:val="0"/>
          <w:numId w:val="1003"/>
        </w:numPr>
      </w:pPr>
      <w:r>
        <w:t xml:space="preserve">Strengthen approaches between MERCOSUR and the Andean Community to achieve articulation, complementation, and convergence in areas of mutual interest.</w:t>
      </w:r>
    </w:p>
    <w:p>
      <w:pPr>
        <w:pStyle w:val="Compact"/>
        <w:numPr>
          <w:ilvl w:val="0"/>
          <w:numId w:val="1003"/>
        </w:numPr>
      </w:pPr>
      <w:r>
        <w:t xml:space="preserve">Deepen cooperation in agriculture, science, and technology to improve regional production and productivity.</w:t>
      </w:r>
    </w:p>
    <w:p>
      <w:pPr>
        <w:pStyle w:val="Compact"/>
        <w:numPr>
          <w:ilvl w:val="0"/>
          <w:numId w:val="1003"/>
        </w:numPr>
      </w:pPr>
      <w:r>
        <w:t xml:space="preserve">Promote effective actions to guarantee food security, support sustainable food production, and ensure timely and permanent access to adequate food for all.</w:t>
      </w:r>
    </w:p>
    <w:p>
      <w:pPr>
        <w:pStyle w:val="Compact"/>
        <w:numPr>
          <w:ilvl w:val="0"/>
          <w:numId w:val="1003"/>
        </w:numPr>
      </w:pPr>
      <w:r>
        <w:t xml:space="preserve">Promote agile mechanisms to strengthen South-South and Triangular Cooperation to enhance institutional capacities in prioritized sectors such as trade, agroindustry, digital agenda, human rights, science and technology, and climate change.</w:t>
      </w:r>
    </w:p>
    <w:p>
      <w:pPr>
        <w:pStyle w:val="Compact"/>
        <w:numPr>
          <w:ilvl w:val="0"/>
          <w:numId w:val="1003"/>
        </w:numPr>
      </w:pPr>
      <w:r>
        <w:t xml:space="preserve">Increase production and use of renewable energies and accelerate a sustainable, just, equitable, and inclusive energy transition respecting national realities and priorities.</w:t>
      </w:r>
    </w:p>
    <w:p>
      <w:pPr>
        <w:pStyle w:val="Compact"/>
        <w:numPr>
          <w:ilvl w:val="0"/>
          <w:numId w:val="1003"/>
        </w:numPr>
      </w:pPr>
      <w:r>
        <w:t xml:space="preserve">Redouble efforts to achieve border integration prioritizing the needs of peoples living in MERCOSUR border areas.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2025-06-19T17:16:08Z</dcterms:created>
  <dcterms:modified xsi:type="dcterms:W3CDTF">2025-06-19T17:16:08Z</dcterms:modified>
</cp:coreProperties>
</file>

<file path=docProps/custom.xml><?xml version="1.0" encoding="utf-8"?>
<Properties xmlns="http://schemas.openxmlformats.org/officeDocument/2006/custom-properties" xmlns:vt="http://schemas.openxmlformats.org/officeDocument/2006/docPropsVTypes"/>
</file>