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87e495e34a33dfcc088834ccb1f35843f2d417"/>
    <w:p>
      <w:pPr>
        <w:pStyle w:val="Heading1"/>
      </w:pPr>
      <w:r>
        <w:t xml:space="preserve">European Industrial Technology Roadmap for the Next-Generation Cloud-Edge (2021)</w:t>
      </w:r>
    </w:p>
    <w:p>
      <w:pPr>
        <w:pStyle w:val="FirstParagraph"/>
      </w:pPr>
      <w:r>
        <w:rPr>
          <w:b/>
          <w:bCs/>
        </w:rPr>
        <w:t xml:space="preserve">Date</w:t>
      </w:r>
      <w:r>
        <w:t xml:space="preserve">: 2021-05</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European Industrial Technology Roadmap for the Next-Generation Cloud-Edge outlines a strategic vision to position Europe as a global leader in cloud and edge technologies by 2025 and beyond. The report identifies significant economic and innovation potential in cloud-edge adoption, but highlights current challenges such as market fragmentation, lack of end-to-end integration, and dominance by non-EU hyperscalers. To address these, the roadmap prioritizes investments in three pillars: (1) technological leadership in climate-neutrality, cybersecurity, and interoperability; (2) expansion and modernization of cloud-edge infrastructure, including dense edge facilities and advanced network integration; and (3) development of sovereign, sector-specific services and open data-sharing platforms. The roadmap calls for coordinated public-private investment, regulatory support, and leveraging initiatives like GAIA-X to ensure secure, trusted, and sustainable cloud-edge services, enabling Europe’s digital sovereignty and competitiveness in the global digital economy.</w:t>
      </w:r>
    </w:p>
    <w:bookmarkEnd w:id="20"/>
    <w:bookmarkStart w:id="21" w:name="characteristics"/>
    <w:p>
      <w:pPr>
        <w:pStyle w:val="Heading2"/>
      </w:pPr>
      <w:r>
        <w:t xml:space="preserve">Characteristics</w:t>
      </w:r>
    </w:p>
    <w:p>
      <w:pPr>
        <w:pStyle w:val="Compact"/>
        <w:numPr>
          <w:ilvl w:val="0"/>
          <w:numId w:val="1001"/>
        </w:numPr>
      </w:pPr>
      <w:r>
        <w:t xml:space="preserve">Strategic Focus Areas: The roadmap prioritizes climate neutrality/resource efficiency, cybersecurity, interoperability/multi-provider services, next-generation data centre infrastructure, network integration, cloud-edge foundation infrastructure, infrastructure services, platform services, and application/data services.</w:t>
      </w:r>
    </w:p>
    <w:p>
      <w:pPr>
        <w:pStyle w:val="Compact"/>
        <w:numPr>
          <w:ilvl w:val="0"/>
          <w:numId w:val="1001"/>
        </w:numPr>
      </w:pPr>
      <w:r>
        <w:t xml:space="preserve">European Sovereignty &amp; Standards: Emphasizes building sovereign, open, and interoperable cloud-edge solutions, leveraging European standards, open-source, and federated approaches (e.g., GAIA-X), with a focus on data protection, transparency, and user control.</w:t>
      </w:r>
    </w:p>
    <w:p>
      <w:pPr>
        <w:pStyle w:val="Compact"/>
        <w:numPr>
          <w:ilvl w:val="0"/>
          <w:numId w:val="1001"/>
        </w:numPr>
      </w:pPr>
      <w:r>
        <w:t xml:space="preserve">Infrastructure Expansion: Calls for increased density and modernization of cloud and edge data centres, advanced network management, and integration of 5G, aiming for 10,000 climate-neutral and secure edge nodes by 2030.</w:t>
      </w:r>
    </w:p>
    <w:p>
      <w:pPr>
        <w:pStyle w:val="Compact"/>
        <w:numPr>
          <w:ilvl w:val="0"/>
          <w:numId w:val="1001"/>
        </w:numPr>
      </w:pPr>
      <w:r>
        <w:t xml:space="preserve">Innovation &amp; Competitiveness: Seeks to leapfrog global competitors by investing in disruptive technologies (e.g., quantum-safe encryption, AI-driven management, DNA storage), sector-specific solutions, and pan-European data sharing platforms.</w:t>
      </w:r>
    </w:p>
    <w:p>
      <w:pPr>
        <w:pStyle w:val="Compact"/>
        <w:numPr>
          <w:ilvl w:val="0"/>
          <w:numId w:val="1001"/>
        </w:numPr>
      </w:pPr>
      <w:r>
        <w:t xml:space="preserve">Public-Private Investment: Identifies significant capital needs and market failures, advocating for coordinated public-private investment, cross-border collaboration, and regulatory support to overcome fragmentation and scale challenges.</w:t>
      </w:r>
    </w:p>
    <w:p>
      <w:pPr>
        <w:pStyle w:val="Compact"/>
        <w:numPr>
          <w:ilvl w:val="0"/>
          <w:numId w:val="1001"/>
        </w:numPr>
      </w:pPr>
      <w:r>
        <w:t xml:space="preserve">Vision for 2030: Envisions a seamless, intelligent, and secure cloud-edge continuum enabling advanced applications (e.g., swarm computing, human task augmentation, quantum computing), with automated, self-healing infrastructure and strong digital ethics.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European Commission; Policy Level Representatives; Governments; Government Officials</w:t>
            </w:r>
          </w:p>
        </w:tc>
      </w:tr>
      <w:tr>
        <w:tc>
          <w:tcPr/>
          <w:p>
            <w:pPr>
              <w:pStyle w:val="Compact"/>
            </w:pPr>
            <w:r>
              <w:t xml:space="preserve">Research and Innovation Actors</w:t>
            </w:r>
          </w:p>
        </w:tc>
        <w:tc>
          <w:tcPr/>
          <w:p>
            <w:pPr>
              <w:pStyle w:val="Compact"/>
            </w:pPr>
            <w:r>
              <w:t xml:space="preserve">Technology Organisations; Research Performing Organisations; Academic Institutions; Universities; Knowledge and Innovation Communities; Digital Innovation Hubs; Researchers; Innovators; EU-LAC Digital Alliance</w:t>
            </w:r>
          </w:p>
        </w:tc>
      </w:tr>
      <w:tr>
        <w:tc>
          <w:tcPr/>
          <w:p>
            <w:pPr>
              <w:pStyle w:val="Compact"/>
            </w:pPr>
            <w:r>
              <w:t xml:space="preserve">Economic Actors</w:t>
            </w:r>
          </w:p>
        </w:tc>
        <w:tc>
          <w:tcPr/>
          <w:p>
            <w:pPr>
              <w:pStyle w:val="Compact"/>
            </w:pPr>
            <w:r>
              <w:t xml:space="preserve">Industry Actors; Private Sector Representatives; ICT Companies; Telecommunication Companies; Digital Companies; Research Funding Organisations</w:t>
            </w:r>
          </w:p>
        </w:tc>
      </w:tr>
      <w:tr>
        <w:tc>
          <w:tcPr/>
          <w:p>
            <w:pPr>
              <w:pStyle w:val="Compact"/>
            </w:pPr>
            <w:r>
              <w:t xml:space="preserve">Civil Society Actors</w:t>
            </w:r>
          </w:p>
        </w:tc>
        <w:tc>
          <w:tcPr/>
          <w:p>
            <w:pPr>
              <w:pStyle w:val="Compact"/>
            </w:pPr>
            <w:r>
              <w:t xml:space="preserve">Technology Providers; Digital Training and Education Providers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Infrastructure; Digital Decade; Digital Platforms; Digital Acceleration; Digital Ecosystem; Digital Investment; Digital Policy; Digital Research; Digital Sustainability; Digital Skills Development; Digital Trade; Digital Regulation; Digital Transitions; Digital Economy</w:t>
            </w:r>
          </w:p>
        </w:tc>
      </w:tr>
      <w:tr>
        <w:tc>
          <w:tcPr/>
          <w:p>
            <w:pPr>
              <w:pStyle w:val="Compact"/>
            </w:pPr>
            <w:r>
              <w:t xml:space="preserve">Technology &amp; Innovation</w:t>
            </w:r>
          </w:p>
        </w:tc>
        <w:tc>
          <w:tcPr/>
          <w:p>
            <w:pPr>
              <w:pStyle w:val="Compact"/>
            </w:pPr>
            <w:r>
              <w:t xml:space="preserve">Cloud Computing; High-Performance Computing; 5G; Tech-Driven Solutions; ICT Innovation; Innovation in Computing; Quantum Technologies; Sustainable Tech; Blockchain</w:t>
            </w:r>
          </w:p>
        </w:tc>
      </w:tr>
      <w:tr>
        <w:tc>
          <w:tcPr/>
          <w:p>
            <w:pPr>
              <w:pStyle w:val="Compact"/>
            </w:pPr>
            <w:r>
              <w:t xml:space="preserve">Data &amp; Governance</w:t>
            </w:r>
          </w:p>
        </w:tc>
        <w:tc>
          <w:tcPr/>
          <w:p>
            <w:pPr>
              <w:pStyle w:val="Compact"/>
            </w:pPr>
            <w:r>
              <w:t xml:space="preserve">Cybersecurity; Data Governance; Data Protection; Digital Governance; Digital Rights; Digital Ethics; Internet Governance; E-Governance; Data Privacy; Digital Access; Digital Identity Management; Cyber Risk Management</w:t>
            </w:r>
          </w:p>
        </w:tc>
      </w:tr>
      <w:tr>
        <w:tc>
          <w:tcPr/>
          <w:p>
            <w:pPr>
              <w:pStyle w:val="Compact"/>
            </w:pPr>
            <w:r>
              <w:t xml:space="preserve">Inclusion &amp; Social Development</w:t>
            </w:r>
          </w:p>
        </w:tc>
        <w:tc>
          <w:tcPr/>
          <w:p>
            <w:pPr>
              <w:pStyle w:val="Compact"/>
            </w:pPr>
            <w:r>
              <w:t xml:space="preserve">Digital Inclusion; Connectivity; Digital Education; Sustainable Digital Development</w:t>
            </w:r>
          </w:p>
        </w:tc>
      </w:tr>
      <w:tr>
        <w:tc>
          <w:tcPr/>
          <w:p>
            <w:pPr>
              <w:pStyle w:val="Compact"/>
            </w:pPr>
            <w:r>
              <w:t xml:space="preserve">Regional &amp; International Cooperation</w:t>
            </w:r>
          </w:p>
        </w:tc>
        <w:tc>
          <w:tcPr/>
          <w:p>
            <w:pPr>
              <w:pStyle w:val="Compact"/>
            </w:pPr>
            <w:r>
              <w:t xml:space="preserve">EU-LAC Digital Alliance; Bi-regional Cooperation; Global Digital Cooperation; Multilateralism; EU-CELAC Digital Partnership;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The GAIA-X initiative is being leveraged as a basis for developing the EU Cloud Federation, including a cloud rulebook and marketplace, with standards, reference architecture, and rules currently under development and being integrated into upcoming EU cloud initiatives.</w:t>
      </w:r>
    </w:p>
    <w:p>
      <w:pPr>
        <w:pStyle w:val="Compact"/>
        <w:numPr>
          <w:ilvl w:val="0"/>
          <w:numId w:val="1002"/>
        </w:numPr>
      </w:pPr>
      <w:r>
        <w:t xml:space="preserve">The Climate Neutral Data Centre Pact is a self-regulatory initiative launched by the industry to support the goal of climate neutrality by 2030 for the data centre industry in Europe, in line with European Commission priorities.</w:t>
      </w:r>
    </w:p>
    <w:p>
      <w:pPr>
        <w:pStyle w:val="Compact"/>
        <w:numPr>
          <w:ilvl w:val="0"/>
          <w:numId w:val="1002"/>
        </w:numPr>
      </w:pPr>
      <w:r>
        <w:t xml:space="preserve">The Industrial Digital Twin Association (IDTA) has been founded to enable manufacturing companies, especially SMEs, to adapt the digital twin approach, building on the German Industrie 4.0 initiative and the Asset Administration Shell (AAS) standard.</w:t>
      </w:r>
    </w:p>
    <w:p>
      <w:pPr>
        <w:pStyle w:val="Compact"/>
        <w:numPr>
          <w:ilvl w:val="0"/>
          <w:numId w:val="1002"/>
        </w:numPr>
      </w:pPr>
      <w:r>
        <w:t xml:space="preserve">Ongoing pilots and deployments of public edge data centres and near/far edge nodes are underway, with specific targets for 2025 and 2030 (e.g., 200 near edge nodes and 6,000 far edge nodes by 2025, scaling to 300 and 14,000 by 2030), to support distributed cloud and edge infrastructure across Europe.</w:t>
      </w:r>
    </w:p>
    <w:p>
      <w:pPr>
        <w:pStyle w:val="Compact"/>
        <w:numPr>
          <w:ilvl w:val="0"/>
          <w:numId w:val="1002"/>
        </w:numPr>
      </w:pPr>
      <w:r>
        <w:t xml:space="preserve">The EuropeQCI project is developing and integrating state-of-the-art and competitive European cybersecurity and quantum technologies, including demonstrators like OpenQKD for quantum communications.</w:t>
      </w:r>
    </w:p>
    <w:p>
      <w:pPr>
        <w:pStyle w:val="Compact"/>
        <w:numPr>
          <w:ilvl w:val="0"/>
          <w:numId w:val="1002"/>
        </w:numPr>
      </w:pPr>
      <w:r>
        <w:t xml:space="preserve">The Quantum Technologies Flagship and Horizon 2020 projects (e.g., CiViQ, QIA, Q-RANGE, UNIQORN, OpenQKD) are actively supporting research and pilot deployments in quantum computing and quantum communications.</w:t>
      </w:r>
    </w:p>
    <w:p>
      <w:pPr>
        <w:pStyle w:val="Compact"/>
        <w:numPr>
          <w:ilvl w:val="0"/>
          <w:numId w:val="1002"/>
        </w:numPr>
      </w:pPr>
      <w:r>
        <w:t xml:space="preserve">The European Commission’s Digital Decade targets are being implemented, including the deployment of “10,000 climate-neutral and secure edge nodes” across the EU by 2030.</w:t>
      </w:r>
    </w:p>
    <w:p>
      <w:pPr>
        <w:pStyle w:val="Compact"/>
        <w:numPr>
          <w:ilvl w:val="0"/>
          <w:numId w:val="1002"/>
        </w:numPr>
      </w:pPr>
      <w:r>
        <w:t xml:space="preserve">The Climate Neutral Data Centre Pact and the adoption of reliable sustainability criteria (KPIs) for data centres are being supported by the European Commission to drive energy efficiency and decarbonization in digital infrastructure.</w:t>
      </w:r>
    </w:p>
    <w:p>
      <w:pPr>
        <w:pStyle w:val="Compact"/>
        <w:numPr>
          <w:ilvl w:val="0"/>
          <w:numId w:val="1002"/>
        </w:numPr>
      </w:pPr>
      <w:r>
        <w:t xml:space="preserve">The use of open-source cloud software stacks (e.g., OpenStack, Ceph, Kubernetes) is being promoted and developed within European cloud offerings, with ongoing projects to improve scalability and interoperability for European providers.</w:t>
      </w:r>
    </w:p>
    <w:p>
      <w:pPr>
        <w:pStyle w:val="Compact"/>
        <w:numPr>
          <w:ilvl w:val="0"/>
          <w:numId w:val="1002"/>
        </w:numPr>
      </w:pPr>
      <w:r>
        <w:t xml:space="preserve">The development and deployment of cross-industry decarbonization data platforms are being supported, with ongoing initiatives like GAIA-X helping to create ecosystems for joint development and deployment of supporting data platforms.</w:t>
      </w:r>
    </w:p>
    <w:p>
      <w:pPr>
        <w:pStyle w:val="Compact"/>
        <w:numPr>
          <w:ilvl w:val="0"/>
          <w:numId w:val="1002"/>
        </w:numPr>
      </w:pPr>
      <w:r>
        <w:t xml:space="preserve">The European Commission and Member States are supporting programs and funding mechanisms (e.g., Horizon Europe, IPCEIs) to reinforce edge and cloud sovereignty, including collaborative research and innovation in AI and key enabling technologies.</w:t>
      </w:r>
    </w:p>
    <w:p>
      <w:pPr>
        <w:pStyle w:val="Compact"/>
        <w:numPr>
          <w:ilvl w:val="0"/>
          <w:numId w:val="1002"/>
        </w:numPr>
      </w:pPr>
      <w:r>
        <w:t xml:space="preserve">The European Commission is promoting the early adoption of sovereign cloud and edge solutions by public administrations to drive demand and support the principles outlined in the investment roadmap.</w:t>
      </w:r>
    </w:p>
    <w:p>
      <w:pPr>
        <w:pStyle w:val="Compact"/>
        <w:numPr>
          <w:ilvl w:val="0"/>
          <w:numId w:val="1002"/>
        </w:numPr>
      </w:pPr>
      <w:r>
        <w:t xml:space="preserve">The European regulatory framework (e.g., GDPR, Free Flow of Non-Personal Data Regulation) is being implemented to support data protection, interoperability, and the growth of the European cloud and edge industry.</w:t>
      </w:r>
    </w:p>
    <w:p>
      <w:pPr>
        <w:pStyle w:val="Compact"/>
        <w:numPr>
          <w:ilvl w:val="0"/>
          <w:numId w:val="1002"/>
        </w:numPr>
      </w:pPr>
      <w:r>
        <w:t xml:space="preserve">The establishment and expansion of European data spaces and data sharing platforms are underway, with frameworks like GAIA-X and IDSA being used to set standards and enable secure, interoperable data exchange across sectors.</w:t>
      </w:r>
    </w:p>
    <w:p>
      <w:pPr>
        <w:pStyle w:val="Compact"/>
        <w:numPr>
          <w:ilvl w:val="0"/>
          <w:numId w:val="1002"/>
        </w:numPr>
      </w:pPr>
      <w:r>
        <w:t xml:space="preserve">The deployment of advanced IaaS/PaaS services and the creation of a federated European cloud marketplace are being piloted to provide integrated, open, and interoperable cloud-edge services to public and private organizations.</w:t>
      </w:r>
    </w:p>
    <w:p>
      <w:pPr>
        <w:pStyle w:val="Compact"/>
        <w:numPr>
          <w:ilvl w:val="0"/>
          <w:numId w:val="1002"/>
        </w:numPr>
      </w:pPr>
      <w:r>
        <w:t xml:space="preserve">The European “Telecom Cloud” reference implementation is being developed to leverage the strengths of European telecom vendors and operators, supporting cloud-native 5G and distributed edge nodes for both telecom and enterprise use cases.</w:t>
      </w:r>
    </w:p>
    <w:bookmarkEnd w:id="24"/>
    <w:bookmarkStart w:id="25" w:name="commitments"/>
    <w:p>
      <w:pPr>
        <w:pStyle w:val="Heading2"/>
      </w:pPr>
      <w:r>
        <w:t xml:space="preserve">Commitments</w:t>
      </w:r>
    </w:p>
    <w:p>
      <w:pPr>
        <w:pStyle w:val="Compact"/>
        <w:numPr>
          <w:ilvl w:val="0"/>
          <w:numId w:val="1003"/>
        </w:numPr>
      </w:pPr>
      <w:r>
        <w:t xml:space="preserve">Double the use of advanced cloud services by 2025 compared to 2018 levels.</w:t>
      </w:r>
    </w:p>
    <w:p>
      <w:pPr>
        <w:pStyle w:val="Compact"/>
        <w:numPr>
          <w:ilvl w:val="0"/>
          <w:numId w:val="1003"/>
        </w:numPr>
      </w:pPr>
      <w:r>
        <w:t xml:space="preserve">Raise the use of advanced cloud services to 75% by 2030.</w:t>
      </w:r>
    </w:p>
    <w:p>
      <w:pPr>
        <w:pStyle w:val="Compact"/>
        <w:numPr>
          <w:ilvl w:val="0"/>
          <w:numId w:val="1003"/>
        </w:numPr>
      </w:pPr>
      <w:r>
        <w:t xml:space="preserve">Achieve climate neutrality of data centres across the EU by 2030.</w:t>
      </w:r>
    </w:p>
    <w:p>
      <w:pPr>
        <w:pStyle w:val="Compact"/>
        <w:numPr>
          <w:ilvl w:val="0"/>
          <w:numId w:val="1003"/>
        </w:numPr>
      </w:pPr>
      <w:r>
        <w:t xml:space="preserve">Deploy 10,000 climate-neutral and secure edge nodes across the EU by 2030.</w:t>
      </w:r>
    </w:p>
    <w:p>
      <w:pPr>
        <w:pStyle w:val="Compact"/>
        <w:numPr>
          <w:ilvl w:val="0"/>
          <w:numId w:val="1003"/>
        </w:numPr>
      </w:pPr>
      <w:r>
        <w:t xml:space="preserve">Achieve European software and operational sovereignty by 2025.</w:t>
      </w:r>
    </w:p>
    <w:p>
      <w:pPr>
        <w:pStyle w:val="Compact"/>
        <w:numPr>
          <w:ilvl w:val="0"/>
          <w:numId w:val="1003"/>
        </w:numPr>
      </w:pPr>
      <w:r>
        <w:t xml:space="preserve">Launch initiatives towards reaching hardware sovereignty by 2030.</w:t>
      </w:r>
    </w:p>
    <w:p>
      <w:pPr>
        <w:pStyle w:val="Compact"/>
        <w:numPr>
          <w:ilvl w:val="0"/>
          <w:numId w:val="1003"/>
        </w:numPr>
      </w:pPr>
      <w:r>
        <w:t xml:space="preserve">Required investment by 2025 for low carbon digital infrastructures: €200 million (50:50 private:public).</w:t>
      </w:r>
    </w:p>
    <w:p>
      <w:pPr>
        <w:pStyle w:val="Compact"/>
        <w:numPr>
          <w:ilvl w:val="0"/>
          <w:numId w:val="1003"/>
        </w:numPr>
      </w:pPr>
      <w:r>
        <w:t xml:space="preserve">Required investment by 2025 for disruptive zero carbon cloud &amp; edge data storage &amp; management: €100 million (50:50 private:public).</w:t>
      </w:r>
    </w:p>
    <w:p>
      <w:pPr>
        <w:pStyle w:val="Compact"/>
        <w:numPr>
          <w:ilvl w:val="0"/>
          <w:numId w:val="1003"/>
        </w:numPr>
      </w:pPr>
      <w:r>
        <w:t xml:space="preserve">Required investment by 2025 for cross-industry decarbonization data platforms: €100 million (30:70 private:public).</w:t>
      </w:r>
    </w:p>
    <w:p>
      <w:pPr>
        <w:pStyle w:val="Compact"/>
        <w:numPr>
          <w:ilvl w:val="0"/>
          <w:numId w:val="1003"/>
        </w:numPr>
      </w:pPr>
      <w:r>
        <w:t xml:space="preserve">Required investment by 2025 for zero trust identity management solution powered by AI: €500 million (50:50 private:public).</w:t>
      </w:r>
    </w:p>
    <w:p>
      <w:pPr>
        <w:pStyle w:val="Compact"/>
        <w:numPr>
          <w:ilvl w:val="0"/>
          <w:numId w:val="1003"/>
        </w:numPr>
      </w:pPr>
      <w:r>
        <w:t xml:space="preserve">Required investment by 2025 for innovative data encryption technologies including quantum safe encryption: €500 million (30:70 private:public).</w:t>
      </w:r>
    </w:p>
    <w:p>
      <w:pPr>
        <w:pStyle w:val="Compact"/>
        <w:numPr>
          <w:ilvl w:val="0"/>
          <w:numId w:val="1003"/>
        </w:numPr>
      </w:pPr>
      <w:r>
        <w:t xml:space="preserve">Required investment by 2025 for automated Security Operation Centres (SOC): €250 million (70:30 private:public).</w:t>
      </w:r>
    </w:p>
    <w:p>
      <w:pPr>
        <w:pStyle w:val="Compact"/>
        <w:numPr>
          <w:ilvl w:val="0"/>
          <w:numId w:val="1003"/>
        </w:numPr>
      </w:pPr>
      <w:r>
        <w:t xml:space="preserve">Required investment by 2025 for edge cybersecurity (Secure Access Service Edge): €270 million (50:50 private:public).</w:t>
      </w:r>
    </w:p>
    <w:p>
      <w:pPr>
        <w:pStyle w:val="Compact"/>
        <w:numPr>
          <w:ilvl w:val="0"/>
          <w:numId w:val="1003"/>
        </w:numPr>
      </w:pPr>
      <w:r>
        <w:t xml:space="preserve">Required investment by 2025 for European cloud services standards: €50 million (20:80 private:public).</w:t>
      </w:r>
    </w:p>
    <w:p>
      <w:pPr>
        <w:pStyle w:val="Compact"/>
        <w:numPr>
          <w:ilvl w:val="0"/>
          <w:numId w:val="1003"/>
        </w:numPr>
      </w:pPr>
      <w:r>
        <w:t xml:space="preserve">Required investment by 2025 for Multi-Provider and Cloud-Edge Control-Plane (MPCP) and API Framework: €150 million (50:50 private:public).</w:t>
      </w:r>
    </w:p>
    <w:p>
      <w:pPr>
        <w:pStyle w:val="Compact"/>
        <w:numPr>
          <w:ilvl w:val="0"/>
          <w:numId w:val="1003"/>
        </w:numPr>
      </w:pPr>
      <w:r>
        <w:t xml:space="preserve">Required investment by 2025 for Federated European cloud marketplace: €100 million (50:50 private:public).</w:t>
      </w:r>
    </w:p>
    <w:p>
      <w:pPr>
        <w:pStyle w:val="Compact"/>
        <w:numPr>
          <w:ilvl w:val="0"/>
          <w:numId w:val="1003"/>
        </w:numPr>
      </w:pPr>
      <w:r>
        <w:t xml:space="preserve">Required investment by 2025 for reference implementation for cloud and edge deployment: €500 million (20:80 private:public).</w:t>
      </w:r>
    </w:p>
    <w:p>
      <w:pPr>
        <w:pStyle w:val="Compact"/>
        <w:numPr>
          <w:ilvl w:val="0"/>
          <w:numId w:val="1003"/>
        </w:numPr>
      </w:pPr>
      <w:r>
        <w:t xml:space="preserve">By 2025, deploy at least 30-40 cloud data centres, 200 near edge nodes, and 6,000 far edge nodes (with 4,000 near-premise) across Europe.</w:t>
      </w:r>
    </w:p>
    <w:p>
      <w:pPr>
        <w:pStyle w:val="Compact"/>
        <w:numPr>
          <w:ilvl w:val="0"/>
          <w:numId w:val="1003"/>
        </w:numPr>
      </w:pPr>
      <w:r>
        <w:t xml:space="preserve">By 2025, build an additional 350 MW of sovereign in-country cloud data centre infrastructure, 200 MW of near edge, and 350 MW of far edge capacity.</w:t>
      </w:r>
    </w:p>
    <w:p>
      <w:pPr>
        <w:pStyle w:val="Compact"/>
        <w:numPr>
          <w:ilvl w:val="0"/>
          <w:numId w:val="1003"/>
        </w:numPr>
      </w:pPr>
      <w:r>
        <w:t xml:space="preserve">By 2030, reach 300 near edge nodes and 14,000 far edge nodes.</w:t>
      </w:r>
    </w:p>
    <w:p>
      <w:pPr>
        <w:pStyle w:val="Compact"/>
        <w:numPr>
          <w:ilvl w:val="0"/>
          <w:numId w:val="1003"/>
        </w:numPr>
      </w:pPr>
      <w:r>
        <w:t xml:space="preserve">Required investment by 2025 for data centre infrastructure: Cloud: €2.9 billion, Near Edge: €2.1 billion, Far Edge: €1.4 billion (30:70 private:public first 2 years, 50:50 onwards).</w:t>
      </w:r>
    </w:p>
    <w:p>
      <w:pPr>
        <w:pStyle w:val="Compact"/>
        <w:numPr>
          <w:ilvl w:val="0"/>
          <w:numId w:val="1003"/>
        </w:numPr>
      </w:pPr>
      <w:r>
        <w:t xml:space="preserve">Required investment by 2025 for retrofitting data centre facilities: €600 million (20:80 private:public).</w:t>
      </w:r>
    </w:p>
    <w:p>
      <w:pPr>
        <w:pStyle w:val="Compact"/>
        <w:numPr>
          <w:ilvl w:val="0"/>
          <w:numId w:val="1003"/>
        </w:numPr>
      </w:pPr>
      <w:r>
        <w:t xml:space="preserve">Required investment by 2025 for advanced data centre infrastructure management: €100 million (50:50 private:public).</w:t>
      </w:r>
    </w:p>
    <w:p>
      <w:pPr>
        <w:pStyle w:val="Compact"/>
        <w:numPr>
          <w:ilvl w:val="0"/>
          <w:numId w:val="1003"/>
        </w:numPr>
      </w:pPr>
      <w:r>
        <w:t xml:space="preserve">Required investment by 2025 for interconnectivity for European cloud and edge services: €650 million (30:70 private:public first 3 years, 50:50 onwards).</w:t>
      </w:r>
    </w:p>
    <w:p>
      <w:pPr>
        <w:pStyle w:val="Compact"/>
        <w:numPr>
          <w:ilvl w:val="0"/>
          <w:numId w:val="1003"/>
        </w:numPr>
      </w:pPr>
      <w:r>
        <w:t xml:space="preserve">Required investment by 2025 for E2E service orchestration and assurance: €200 million (50:50 private:public).</w:t>
      </w:r>
    </w:p>
    <w:p>
      <w:pPr>
        <w:pStyle w:val="Compact"/>
        <w:numPr>
          <w:ilvl w:val="0"/>
          <w:numId w:val="1003"/>
        </w:numPr>
      </w:pPr>
      <w:r>
        <w:t xml:space="preserve">Required investment by 2025 for cloud infrastructure control plane: €200 million (50:50 private:public).</w:t>
      </w:r>
    </w:p>
    <w:p>
      <w:pPr>
        <w:pStyle w:val="Compact"/>
        <w:numPr>
          <w:ilvl w:val="0"/>
          <w:numId w:val="1003"/>
        </w:numPr>
      </w:pPr>
      <w:r>
        <w:t xml:space="preserve">Required investment by 2025 for cloud and edge hardware design, integration and deployment: €300 million for design/integration (50:50 private:public), €6 billion for deployment (70:30 private:public).</w:t>
      </w:r>
    </w:p>
    <w:p>
      <w:pPr>
        <w:pStyle w:val="Compact"/>
        <w:numPr>
          <w:ilvl w:val="0"/>
          <w:numId w:val="1003"/>
        </w:numPr>
      </w:pPr>
      <w:r>
        <w:t xml:space="preserve">Required investment by 2025 for hardware accelerated cloud native software for edge nodes: €75 million (30:70 private:public).</w:t>
      </w:r>
    </w:p>
    <w:p>
      <w:pPr>
        <w:pStyle w:val="Compact"/>
        <w:numPr>
          <w:ilvl w:val="0"/>
          <w:numId w:val="1003"/>
        </w:numPr>
      </w:pPr>
      <w:r>
        <w:t xml:space="preserve">Required investment by 2025 for edge-cloud native multi-tenancy: €75 million (70:30 private:public).</w:t>
      </w:r>
    </w:p>
    <w:p>
      <w:pPr>
        <w:pStyle w:val="Compact"/>
        <w:numPr>
          <w:ilvl w:val="0"/>
          <w:numId w:val="1003"/>
        </w:numPr>
      </w:pPr>
      <w:r>
        <w:t xml:space="preserve">Required investment by 2025 for secured platform for public safety and disaster relief: €75 million (70:30 private:public).</w:t>
      </w:r>
    </w:p>
    <w:p>
      <w:pPr>
        <w:pStyle w:val="Compact"/>
        <w:numPr>
          <w:ilvl w:val="0"/>
          <w:numId w:val="1003"/>
        </w:numPr>
      </w:pPr>
      <w:r>
        <w:t xml:space="preserve">Required investment by 2025 for development of open standard/open source cloud software stack: €250 million (20:80 private:public).</w:t>
      </w:r>
    </w:p>
    <w:p>
      <w:pPr>
        <w:pStyle w:val="Compact"/>
        <w:numPr>
          <w:ilvl w:val="0"/>
          <w:numId w:val="1003"/>
        </w:numPr>
      </w:pPr>
      <w:r>
        <w:t xml:space="preserve">By 2025, realize at least 20-40 data centre hosted platforms and 100-500 edge nodes as well as 6,000 far edge nodes providing IaaS/PaaS services in all Member States.</w:t>
      </w:r>
    </w:p>
    <w:p>
      <w:pPr>
        <w:pStyle w:val="Compact"/>
        <w:numPr>
          <w:ilvl w:val="0"/>
          <w:numId w:val="1003"/>
        </w:numPr>
      </w:pPr>
      <w:r>
        <w:t xml:space="preserve">Required investment by 2025 for European “Telecom Cloud” reference implementation: €100 million (50:50 private:public).</w:t>
      </w:r>
    </w:p>
    <w:p>
      <w:pPr>
        <w:pStyle w:val="Compact"/>
        <w:numPr>
          <w:ilvl w:val="0"/>
          <w:numId w:val="1003"/>
        </w:numPr>
      </w:pPr>
      <w:r>
        <w:t xml:space="preserve">Required investment by 2025 for end-to-end data pipelines and platforms: €130 million (20:80 private:public for R&amp;D, 50:50 for initial deployments).</w:t>
      </w:r>
    </w:p>
    <w:p>
      <w:pPr>
        <w:pStyle w:val="Compact"/>
        <w:numPr>
          <w:ilvl w:val="0"/>
          <w:numId w:val="1003"/>
        </w:numPr>
      </w:pPr>
      <w:r>
        <w:t xml:space="preserve">Required investment by 2025 for middleware and runtime capabilities: €120 million (20:80 private:public for R&amp;D).</w:t>
      </w:r>
    </w:p>
    <w:p>
      <w:pPr>
        <w:pStyle w:val="Compact"/>
        <w:numPr>
          <w:ilvl w:val="0"/>
          <w:numId w:val="1003"/>
        </w:numPr>
      </w:pPr>
      <w:r>
        <w:t xml:space="preserve">Required investment by 2025 for managed databases and custom operating systems: €50 million (20:80 private:public for R&amp;D, 50:50 for initial deployments).</w:t>
      </w:r>
    </w:p>
    <w:p>
      <w:pPr>
        <w:pStyle w:val="Compact"/>
        <w:numPr>
          <w:ilvl w:val="0"/>
          <w:numId w:val="1003"/>
        </w:numPr>
      </w:pPr>
      <w:r>
        <w:t xml:space="preserve">Required investment by 2025 for pan-European data sharing platforms: €1 billion for technical foundations, €500 million for deployment in verticals (20:80 private:public for R&amp;D, 50:50 for deployment).</w:t>
      </w:r>
    </w:p>
    <w:p>
      <w:pPr>
        <w:pStyle w:val="Compact"/>
        <w:numPr>
          <w:ilvl w:val="0"/>
          <w:numId w:val="1003"/>
        </w:numPr>
      </w:pPr>
      <w:r>
        <w:t xml:space="preserve">Required investment by 2025 for application services enabling edge use cases: €150 million (50:50 private:public).</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2025-06-11T17:54:17Z</dcterms:created>
  <dcterms:modified xsi:type="dcterms:W3CDTF">2025-06-11T17:54:17Z</dcterms:modified>
</cp:coreProperties>
</file>

<file path=docProps/custom.xml><?xml version="1.0" encoding="utf-8"?>
<Properties xmlns="http://schemas.openxmlformats.org/officeDocument/2006/custom-properties" xmlns:vt="http://schemas.openxmlformats.org/officeDocument/2006/docPropsVTypes"/>
</file>