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cc17e038d88310a22928702afefd7076c08bcb"/>
    <w:p>
      <w:pPr>
        <w:pStyle w:val="Heading1"/>
      </w:pPr>
      <w:r>
        <w:t xml:space="preserve">Enhanced Collaboration Framework Agreement between IDB and UNDP (2024) and CAF-PNUD Cooperation Agreement on Climate Vulnerability Reduction Project in Latin America</w:t>
      </w:r>
    </w:p>
    <w:p>
      <w:pPr>
        <w:pStyle w:val="FirstParagraph"/>
      </w:pPr>
      <w:r>
        <w:rPr>
          <w:b/>
          <w:bCs/>
        </w:rPr>
        <w:t xml:space="preserve">Date</w:t>
      </w:r>
      <w:r>
        <w:t xml:space="preserve">: The exact date found in the documents is</w:t>
      </w:r>
      <w:r>
        <w:t xml:space="preserve"> </w:t>
      </w:r>
      <w:r>
        <w:t xml:space="preserve">“2024-04-22”</w:t>
      </w:r>
      <w:r>
        <w:t xml:space="preserve"> </w:t>
      </w:r>
      <w:r>
        <w:t xml:space="preserve">from the IDB_UNDP_Enhanced_Collaboration_Report_2024.pdf and</w:t>
      </w:r>
      <w:r>
        <w:t xml:space="preserve"> </w:t>
      </w:r>
      <w:r>
        <w:t xml:space="preserve">“2019-07-04”</w:t>
      </w:r>
      <w:r>
        <w:t xml:space="preserve"> </w:t>
      </w:r>
      <w:r>
        <w:t xml:space="preserve">from the Partnership for Development in Latin America and the Caribbean.pdf.</w:t>
      </w:r>
    </w:p>
    <w:p>
      <w:pPr>
        <w:pStyle w:val="BodyText"/>
      </w:pPr>
      <w:r>
        <w:t xml:space="preserve">Since the instruction is to prioritize the most recent document, the date to output is:</w:t>
      </w:r>
    </w:p>
    <w:p>
      <w:pPr>
        <w:pStyle w:val="BodyText"/>
      </w:pPr>
      <w:r>
        <w:t xml:space="preserve">2024-04-22</w:t>
      </w:r>
    </w:p>
    <w:p>
      <w:pPr>
        <w:pStyle w:val="BodyText"/>
      </w:pPr>
      <w:r>
        <w:rPr>
          <w:b/>
          <w:bCs/>
        </w:rPr>
        <w:t xml:space="preserve">Location</w:t>
      </w:r>
      <w:r>
        <w:t xml:space="preserve">: Washington D.C., United States</w:t>
      </w:r>
    </w:p>
    <w:bookmarkStart w:id="20" w:name="executive-summary"/>
    <w:p>
      <w:pPr>
        <w:pStyle w:val="Heading2"/>
      </w:pPr>
      <w:r>
        <w:t xml:space="preserve">Executive Summary</w:t>
      </w:r>
    </w:p>
    <w:p>
      <w:pPr>
        <w:pStyle w:val="FirstParagraph"/>
      </w:pPr>
      <w:r>
        <w:t xml:space="preserve">The IDB and UNDP renewed their 25-year partnership with a new 2024 framework agreement to accelerate sustainable development in Latin America and the Caribbean, focusing on poverty reduction, climate action, innovation, and institutional capacity building. This agreement streamlines joint operations and resource mobilization. Separately, the Andean Development Corporation (CAF) and UNDP signed a cooperation agreement for a regional project reducing climate vulnerability and flood risk in coastal urban areas of Chile and Ecuador. Funded by the UN Adaptation Fund with $12.88 million, the project targets hydrometeorological hazards in specific cities, emphasizing risk-based adaptation, knowledge networks, and resilience culture. The agreement details roles, financial management, reporting, intellectual property, confidentiality, and dispute resolution, ensuring compliance with UNDP and Adaptation Fund policies. Both agreements highlight enhanced multilateral collaboration to address climate risks and sustainable development challenges in Latin America and the Caribbean.</w:t>
      </w:r>
    </w:p>
    <w:bookmarkEnd w:id="20"/>
    <w:bookmarkStart w:id="21" w:name="characteristics"/>
    <w:p>
      <w:pPr>
        <w:pStyle w:val="Heading2"/>
      </w:pPr>
      <w:r>
        <w:t xml:space="preserve">Characteristics</w:t>
      </w:r>
    </w:p>
    <w:p>
      <w:pPr>
        <w:pStyle w:val="Compact"/>
        <w:numPr>
          <w:ilvl w:val="0"/>
          <w:numId w:val="1001"/>
        </w:numPr>
      </w:pPr>
      <w:r>
        <w:t xml:space="preserve">The IDB and UNDP renewed a 25-year partnership with a new framework agreement in 2024 to accelerate sustainable development in Latin America and the Caribbean, focusing on poverty reduction, climate action, innovation, and institutional capacity building.</w:t>
      </w:r>
    </w:p>
    <w:p>
      <w:pPr>
        <w:pStyle w:val="Compact"/>
        <w:numPr>
          <w:ilvl w:val="0"/>
          <w:numId w:val="1001"/>
        </w:numPr>
      </w:pPr>
      <w:r>
        <w:t xml:space="preserve">The CAF and UNDP cooperation agreement targets reducing climate vulnerability and flood risk in coastal urban and semi-urban areas in Chile and Ecuador, with a $12.88 million budget funded by the Adaptation Fund.</w:t>
      </w:r>
    </w:p>
    <w:p>
      <w:pPr>
        <w:pStyle w:val="Compact"/>
        <w:numPr>
          <w:ilvl w:val="0"/>
          <w:numId w:val="1001"/>
        </w:numPr>
      </w:pPr>
      <w:r>
        <w:t xml:space="preserve">The CAF-PNUD project emphasizes risk-based adaptation, collaboration, knowledge networks, and culture of adaptation to address hydrometeorological hazards in specific cities.</w:t>
      </w:r>
    </w:p>
    <w:p>
      <w:pPr>
        <w:pStyle w:val="Compact"/>
        <w:numPr>
          <w:ilvl w:val="0"/>
          <w:numId w:val="1001"/>
        </w:numPr>
      </w:pPr>
      <w:r>
        <w:t xml:space="preserve">The agreements include detailed governance structures, financial management, reporting, auditing, intellectual property rights, confidentiality, and dispute resolution mechanisms.</w:t>
      </w:r>
    </w:p>
    <w:p>
      <w:pPr>
        <w:pStyle w:val="Compact"/>
        <w:numPr>
          <w:ilvl w:val="0"/>
          <w:numId w:val="1001"/>
        </w:numPr>
      </w:pPr>
      <w:r>
        <w:t xml:space="preserve">Both agreements prioritize compliance with environmental, social, and gender policies, ensuring transparent use of funds and accountability through regular progress and financial reports.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United Nations Officials</w:t>
            </w:r>
          </w:p>
        </w:tc>
      </w:tr>
      <w:tr>
        <w:tc>
          <w:tcPr/>
          <w:p>
            <w:pPr>
              <w:pStyle w:val="Compact"/>
            </w:pPr>
            <w:r>
              <w:t xml:space="preserve">Economic Actors</w:t>
            </w:r>
          </w:p>
        </w:tc>
        <w:tc>
          <w:tcPr/>
          <w:p>
            <w:pPr>
              <w:pStyle w:val="Compact"/>
            </w:pPr>
            <w:r>
              <w:t xml:space="preserve">Inter-American Development Bank; Development Bank of Latin America and the Caribbean; World Bank</w:t>
            </w:r>
          </w:p>
        </w:tc>
      </w:tr>
      <w:tr>
        <w:tc>
          <w:tcPr/>
          <w:p>
            <w:pPr>
              <w:pStyle w:val="Compact"/>
            </w:pPr>
            <w:r>
              <w:t xml:space="preserve">Civil Society Actors</w:t>
            </w:r>
          </w:p>
        </w:tc>
        <w:tc>
          <w:tcPr/>
          <w:p>
            <w:pPr>
              <w:pStyle w:val="Compact"/>
            </w:pPr>
            <w:r>
              <w:t xml:space="preserve">Non-governmental Institutions; 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Inclusion &amp; Social Development</w:t>
            </w:r>
          </w:p>
        </w:tc>
        <w:tc>
          <w:tcPr/>
          <w:p>
            <w:pPr>
              <w:pStyle w:val="Compact"/>
            </w:pPr>
            <w:r>
              <w:t xml:space="preserve">Sustainable Digital Development</w:t>
            </w:r>
          </w:p>
        </w:tc>
      </w:tr>
      <w:tr>
        <w:tc>
          <w:tcPr/>
          <w:p>
            <w:pPr>
              <w:pStyle w:val="Compact"/>
            </w:pPr>
            <w:r>
              <w:t xml:space="preserve">Regional &amp; International Cooperation</w:t>
            </w:r>
          </w:p>
        </w:tc>
        <w:tc>
          <w:tcPr/>
          <w:p>
            <w:pPr>
              <w:pStyle w:val="Compact"/>
            </w:pPr>
            <w:r>
              <w:t xml:space="preserve">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Inter-American Development Bank (IDB) and the United Nations Development Programme (UNDP) have signed a new enhanced collaboration framework agreement (2024) to accelerate sustainable development in Latin America and the Caribbean, focusing on poverty and inequality reduction, climate action, productivity and innovation, and institutional capacity building. This includes joint analysis, co-financed projects, blended-finance instruments, shared knowledge products, and capacity-building workshops.</w:t>
      </w:r>
    </w:p>
    <w:p>
      <w:pPr>
        <w:pStyle w:val="Compact"/>
        <w:numPr>
          <w:ilvl w:val="0"/>
          <w:numId w:val="1002"/>
        </w:numPr>
      </w:pPr>
      <w:r>
        <w:t xml:space="preserve">The Corporación Andina de Fomento (CAF) and the United Nations Development Programme (UNDP) have an active cooperation agreement for the Regional Project</w:t>
      </w:r>
      <w:r>
        <w:t xml:space="preserve"> </w:t>
      </w:r>
      <w:r>
        <w:t xml:space="preserve">“Reduction of climate vulnerability and flood risk in urban and semi-urban coastal areas of cities in Latin America”</w:t>
      </w:r>
      <w:r>
        <w:t xml:space="preserve"> </w:t>
      </w:r>
      <w:r>
        <w:t xml:space="preserve">(Chile-Ecuador). This project is financed by the Adaptation Fund with a budget of USD 12.88 million and aims to reduce vulnerability to floods, mudslides, and landslides in specific coastal cities (Antofagasta and Taltal in Chile, Esmeraldas in Ecuador).</w:t>
      </w:r>
    </w:p>
    <w:p>
      <w:pPr>
        <w:pStyle w:val="Compact"/>
        <w:numPr>
          <w:ilvl w:val="0"/>
          <w:numId w:val="1002"/>
        </w:numPr>
      </w:pPr>
      <w:r>
        <w:t xml:space="preserve">The CAF-UNDP project includes a governance structure with a Steering Committee and Advisory Committee involving national environment ministries and cooperation agencies from Chile and Ecuador.</w:t>
      </w:r>
    </w:p>
    <w:p>
      <w:pPr>
        <w:pStyle w:val="Compact"/>
        <w:numPr>
          <w:ilvl w:val="0"/>
          <w:numId w:val="1002"/>
        </w:numPr>
      </w:pPr>
      <w:r>
        <w:t xml:space="preserve">The project implementation modalities include semi-annual acquisition plans, financial disbursements based on progress reports, strict compliance with Adaptation Fund operational policies, environmental and social safeguards, and gender policies.</w:t>
      </w:r>
    </w:p>
    <w:p>
      <w:pPr>
        <w:pStyle w:val="Compact"/>
        <w:numPr>
          <w:ilvl w:val="0"/>
          <w:numId w:val="1002"/>
        </w:numPr>
      </w:pPr>
      <w:r>
        <w:t xml:space="preserve">UNDP acts as the executing agency responsible for technical, operational, and administrative management, including procurement, contracting, monitoring contractors, maintaining financial records, and reporting to CAF and the Adaptation Fund.</w:t>
      </w:r>
    </w:p>
    <w:p>
      <w:pPr>
        <w:pStyle w:val="Compact"/>
        <w:numPr>
          <w:ilvl w:val="0"/>
          <w:numId w:val="1002"/>
        </w:numPr>
      </w:pPr>
      <w:r>
        <w:t xml:space="preserve">The project requires periodic reporting including start-up workshop reports, semi-annual progress reports, mid-term and final independent evaluations, and audited financial statements.</w:t>
      </w:r>
    </w:p>
    <w:p>
      <w:pPr>
        <w:pStyle w:val="Compact"/>
        <w:numPr>
          <w:ilvl w:val="0"/>
          <w:numId w:val="1002"/>
        </w:numPr>
      </w:pPr>
      <w:r>
        <w:t xml:space="preserve">The project includes intellectual property provisions granting UNDP ownership of outputs with perpetual royalty-free licenses to CAF, the Adaptation Fund, Chile, and Ecuador.</w:t>
      </w:r>
    </w:p>
    <w:p>
      <w:pPr>
        <w:pStyle w:val="Compact"/>
        <w:numPr>
          <w:ilvl w:val="0"/>
          <w:numId w:val="1002"/>
        </w:numPr>
      </w:pPr>
      <w:r>
        <w:t xml:space="preserve">The agreement establishes mechanisms for confidentiality, suspension, termination, dispute resolution by arbitration, and adherence to immunities and privileges of CAF and UNDP.</w:t>
      </w:r>
    </w:p>
    <w:p>
      <w:pPr>
        <w:pStyle w:val="Compact"/>
        <w:numPr>
          <w:ilvl w:val="0"/>
          <w:numId w:val="1002"/>
        </w:numPr>
      </w:pPr>
      <w:r>
        <w:t xml:space="preserve">Financial management includes maintaining a dedicated USD bank account, advance payments, and reimbursement procedures, with provisions for recovery of misused funds.</w:t>
      </w:r>
    </w:p>
    <w:p>
      <w:pPr>
        <w:pStyle w:val="Compact"/>
        <w:numPr>
          <w:ilvl w:val="0"/>
          <w:numId w:val="1002"/>
        </w:numPr>
      </w:pPr>
      <w:r>
        <w:t xml:space="preserve">The project mandates visibility and communication protocols crediting the Adaptation Fund and CAF in all publications and materials.</w:t>
      </w:r>
    </w:p>
    <w:bookmarkEnd w:id="24"/>
    <w:bookmarkStart w:id="25" w:name="commitments"/>
    <w:p>
      <w:pPr>
        <w:pStyle w:val="Heading2"/>
      </w:pPr>
      <w:r>
        <w:t xml:space="preserve">Commitments</w:t>
      </w:r>
    </w:p>
    <w:p>
      <w:pPr>
        <w:pStyle w:val="Compact"/>
        <w:numPr>
          <w:ilvl w:val="0"/>
          <w:numId w:val="1003"/>
        </w:numPr>
      </w:pPr>
      <w:r>
        <w:t xml:space="preserve">IDB and UNDP signed a new framework agreement on 22 April 2024 to accelerate sustainable development in Latin America and the Caribbean, focusing on poverty &amp; inequality reduction, climate action, productivity &amp; innovation, and institutional capacity building. (No specific numerical targets or deadlines provided)</w:t>
      </w:r>
    </w:p>
    <w:p>
      <w:pPr>
        <w:pStyle w:val="Compact"/>
        <w:numPr>
          <w:ilvl w:val="0"/>
          <w:numId w:val="1003"/>
        </w:numPr>
      </w:pPr>
      <w:r>
        <w:t xml:space="preserve">The Adaptation Fund (FA) will provide up to USD 12,880,000 through CAF for the execution of the regional project</w:t>
      </w:r>
      <w:r>
        <w:t xml:space="preserve"> </w:t>
      </w:r>
      <w:r>
        <w:t xml:space="preserve">“Reduction of climate vulnerability and flood risk in coastal urban and semi-urban areas of cities in Latin America”</w:t>
      </w:r>
      <w:r>
        <w:t xml:space="preserve"> </w:t>
      </w:r>
      <w:r>
        <w:t xml:space="preserve">(Chile and Ecuador).</w:t>
      </w:r>
    </w:p>
    <w:p>
      <w:pPr>
        <w:pStyle w:val="Compact"/>
        <w:numPr>
          <w:ilvl w:val="0"/>
          <w:numId w:val="1003"/>
        </w:numPr>
      </w:pPr>
      <w:r>
        <w:t xml:space="preserve">The project focuses on reducing vulnerability to floods, mudslides, and landslides in three coastal cities: Antofagasta and Taltal (Chile), and Esmeraldas (Ecuador).</w:t>
      </w:r>
    </w:p>
    <w:p>
      <w:pPr>
        <w:pStyle w:val="Compact"/>
        <w:numPr>
          <w:ilvl w:val="0"/>
          <w:numId w:val="1003"/>
        </w:numPr>
      </w:pPr>
      <w:r>
        <w:t xml:space="preserve">Project funding disbursement schedule (total USD 12,880,000):</w:t>
      </w:r>
    </w:p>
    <w:p>
      <w:pPr>
        <w:pStyle w:val="Compact"/>
        <w:numPr>
          <w:ilvl w:val="0"/>
          <w:numId w:val="1003"/>
        </w:numPr>
      </w:pPr>
      <w:r>
        <w:t xml:space="preserve">15 days after signing the agreement: USD 472,595</w:t>
      </w:r>
    </w:p>
    <w:p>
      <w:pPr>
        <w:pStyle w:val="Compact"/>
        <w:numPr>
          <w:ilvl w:val="0"/>
          <w:numId w:val="1003"/>
        </w:numPr>
      </w:pPr>
      <w:r>
        <w:t xml:space="preserve">15 days after delivery of the PNUD workshop report and approval of the semiannual procurement plan: USD 708,892</w:t>
      </w:r>
    </w:p>
    <w:p>
      <w:pPr>
        <w:pStyle w:val="Compact"/>
        <w:numPr>
          <w:ilvl w:val="0"/>
          <w:numId w:val="1003"/>
        </w:numPr>
      </w:pPr>
      <w:r>
        <w:t xml:space="preserve">15 February 2020: USD 1,312,821</w:t>
      </w:r>
    </w:p>
    <w:p>
      <w:pPr>
        <w:pStyle w:val="Compact"/>
        <w:numPr>
          <w:ilvl w:val="0"/>
          <w:numId w:val="1003"/>
        </w:numPr>
      </w:pPr>
      <w:r>
        <w:t xml:space="preserve">15 August 2020: USD 1,312,820</w:t>
      </w:r>
    </w:p>
    <w:p>
      <w:pPr>
        <w:pStyle w:val="Compact"/>
        <w:numPr>
          <w:ilvl w:val="0"/>
          <w:numId w:val="1003"/>
        </w:numPr>
      </w:pPr>
      <w:r>
        <w:t xml:space="preserve">15 February 2021: USD 3,969,577</w:t>
      </w:r>
    </w:p>
    <w:p>
      <w:pPr>
        <w:pStyle w:val="Compact"/>
        <w:numPr>
          <w:ilvl w:val="0"/>
          <w:numId w:val="1003"/>
        </w:numPr>
      </w:pPr>
      <w:r>
        <w:t xml:space="preserve">15 August 2021: USD 3,969,577</w:t>
      </w:r>
    </w:p>
    <w:p>
      <w:pPr>
        <w:pStyle w:val="Compact"/>
        <w:numPr>
          <w:ilvl w:val="0"/>
          <w:numId w:val="1003"/>
        </w:numPr>
      </w:pPr>
      <w:r>
        <w:t xml:space="preserve">15 February 2022: USD 259,345</w:t>
      </w:r>
    </w:p>
    <w:p>
      <w:pPr>
        <w:pStyle w:val="Compact"/>
        <w:numPr>
          <w:ilvl w:val="0"/>
          <w:numId w:val="1003"/>
        </w:numPr>
      </w:pPr>
      <w:r>
        <w:t xml:space="preserve">15 August 2022: USD 259,345</w:t>
      </w:r>
    </w:p>
    <w:p>
      <w:pPr>
        <w:pStyle w:val="Compact"/>
        <w:numPr>
          <w:ilvl w:val="0"/>
          <w:numId w:val="1003"/>
        </w:numPr>
      </w:pPr>
      <w:r>
        <w:t xml:space="preserve">15 February 2023: USD 307,514</w:t>
      </w:r>
    </w:p>
    <w:p>
      <w:pPr>
        <w:pStyle w:val="Compact"/>
        <w:numPr>
          <w:ilvl w:val="0"/>
          <w:numId w:val="1003"/>
        </w:numPr>
      </w:pPr>
      <w:r>
        <w:t xml:space="preserve">15 August 2023: USD 307,514</w:t>
      </w:r>
    </w:p>
    <w:p>
      <w:pPr>
        <w:pStyle w:val="Compact"/>
        <w:numPr>
          <w:ilvl w:val="0"/>
          <w:numId w:val="1003"/>
        </w:numPr>
      </w:pPr>
      <w:r>
        <w:t xml:space="preserve">The project duration is effective from the date of the last signature (4 July 2019) and will remain in force until all project activities are completed, not exceeding the term of the CAF-FA agreement.</w:t>
      </w:r>
    </w:p>
    <w:p>
      <w:pPr>
        <w:pStyle w:val="Compact"/>
        <w:numPr>
          <w:ilvl w:val="0"/>
          <w:numId w:val="1003"/>
        </w:numPr>
      </w:pPr>
      <w:r>
        <w:t xml:space="preserve">The PNUD as executor will receive 8% of the executed project budget as General Management Support Service fee.</w:t>
      </w:r>
    </w:p>
    <w:p>
      <w:pPr>
        <w:pStyle w:val="Compact"/>
        <w:numPr>
          <w:ilvl w:val="0"/>
          <w:numId w:val="1003"/>
        </w:numPr>
      </w:pPr>
      <w:r>
        <w:t xml:space="preserve">The project requires semiannual progress reports (Project Performance Reports) to be submitted within 30 days after 80% of the semiannual procurement plan is executed, with the first report no later than 30 days after six months from the project start workshop.</w:t>
      </w:r>
    </w:p>
    <w:p>
      <w:pPr>
        <w:pStyle w:val="Compact"/>
        <w:numPr>
          <w:ilvl w:val="0"/>
          <w:numId w:val="1003"/>
        </w:numPr>
      </w:pPr>
      <w:r>
        <w:t xml:space="preserve">Mid-term evaluation report to be delivered within 90 days after the fifth semiannual report.</w:t>
      </w:r>
    </w:p>
    <w:p>
      <w:pPr>
        <w:pStyle w:val="Compact"/>
        <w:numPr>
          <w:ilvl w:val="0"/>
          <w:numId w:val="1003"/>
        </w:numPr>
      </w:pPr>
      <w:r>
        <w:t xml:space="preserve">Final evaluation report to be delivered within 90 days after project completion.</w:t>
      </w:r>
    </w:p>
    <w:p>
      <w:pPr>
        <w:pStyle w:val="Compact"/>
        <w:numPr>
          <w:ilvl w:val="0"/>
          <w:numId w:val="1003"/>
        </w:numPr>
      </w:pPr>
      <w:r>
        <w:t xml:space="preserve">Financial audit reports to be delivered within 90 days after the fiscal year-end.</w:t>
      </w:r>
    </w:p>
    <w:p>
      <w:pPr>
        <w:pStyle w:val="Compact"/>
        <w:numPr>
          <w:ilvl w:val="0"/>
          <w:numId w:val="1003"/>
        </w:numPr>
      </w:pPr>
      <w:r>
        <w:t xml:space="preserve">Unused funds after project completion must be returned to CAF within two months.</w:t>
      </w:r>
    </w:p>
    <w:p>
      <w:pPr>
        <w:pStyle w:val="Compact"/>
        <w:numPr>
          <w:ilvl w:val="0"/>
          <w:numId w:val="1003"/>
        </w:numPr>
      </w:pPr>
      <w:r>
        <w:t xml:space="preserve">The project includes a 5% authorized budget variation limit per product without prior approval; variations above 5% require approval by the Steering Committee.</w:t>
      </w:r>
    </w:p>
    <w:p>
      <w:pPr>
        <w:pStyle w:val="Compact"/>
        <w:numPr>
          <w:ilvl w:val="0"/>
          <w:numId w:val="1003"/>
        </w:numPr>
      </w:pPr>
      <w:r>
        <w:t xml:space="preserve">The project must comply with gender policy and environmental and social safeguards as described in the project document.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2025-06-19T15:00:49Z</dcterms:created>
  <dcterms:modified xsi:type="dcterms:W3CDTF">2025-06-19T15:00:49Z</dcterms:modified>
</cp:coreProperties>
</file>

<file path=docProps/custom.xml><?xml version="1.0" encoding="utf-8"?>
<Properties xmlns="http://schemas.openxmlformats.org/officeDocument/2006/custom-properties" xmlns:vt="http://schemas.openxmlformats.org/officeDocument/2006/docPropsVTypes"/>
</file>