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359427deb822bac48ab43a65f62c3eb8337e65"/>
    <w:p>
      <w:pPr>
        <w:pStyle w:val="Heading1"/>
      </w:pPr>
      <w:r>
        <w:t xml:space="preserve">Special Declaration on Culture by the Member States of MERCOSUR and Associated States (2022)</w:t>
      </w:r>
    </w:p>
    <w:p>
      <w:pPr>
        <w:pStyle w:val="FirstParagraph"/>
      </w:pPr>
      <w:r>
        <w:rPr>
          <w:b/>
          <w:bCs/>
        </w:rPr>
        <w:t xml:space="preserve">Date</w:t>
      </w:r>
      <w:r>
        <w:t xml:space="preserve">: 2022-12-06</w:t>
      </w:r>
    </w:p>
    <w:p>
      <w:pPr>
        <w:pStyle w:val="BodyText"/>
      </w:pPr>
      <w:r>
        <w:rPr>
          <w:b/>
          <w:bCs/>
        </w:rPr>
        <w:t xml:space="preserve">Location</w:t>
      </w:r>
      <w:r>
        <w:t xml:space="preserve">: Montevideo, Uruguay</w:t>
      </w:r>
    </w:p>
    <w:bookmarkStart w:id="20" w:name="executive-summary"/>
    <w:p>
      <w:pPr>
        <w:pStyle w:val="Heading2"/>
      </w:pPr>
      <w:r>
        <w:t xml:space="preserve">Executive Summary</w:t>
      </w:r>
    </w:p>
    <w:p>
      <w:pPr>
        <w:pStyle w:val="FirstParagraph"/>
      </w:pPr>
      <w:r>
        <w:t xml:space="preserve">The Special Declaration on Culture by MERCOSUR Member and Associated States, adopted in December 2022, addresses the COVID-19 pandemic’s severe impact on the cultural sector, highlighting structural weaknesses and inequalities. The leaders emphasized the importance of cultural industries for social cohesion and sustainable development, committing to policies for sector reactivation, artist formalization, and heritage protection. They underscored international cooperation, technological innovation, and the strengthening of MERCOSUR Cultural as vital tools. The declaration promotes cultural rights, mobility of artists, and the inclusion of indigenous and ethnic communities. It calls for decentralizing culture to ensure broad access, enhancing trade in cultural goods and services, and combating illicit trafficking of cultural assets. The agreement reaffirms culture’s transversal role in public policy and the bloc’s potential as a platform for joint solutions to challenges faced by the cultural sector.</w:t>
      </w:r>
    </w:p>
    <w:bookmarkEnd w:id="20"/>
    <w:bookmarkStart w:id="21" w:name="characteristics"/>
    <w:p>
      <w:pPr>
        <w:pStyle w:val="Heading2"/>
      </w:pPr>
      <w:r>
        <w:t xml:space="preserve">Characteristics</w:t>
      </w:r>
    </w:p>
    <w:p>
      <w:pPr>
        <w:pStyle w:val="Compact"/>
        <w:numPr>
          <w:ilvl w:val="0"/>
          <w:numId w:val="1001"/>
        </w:numPr>
      </w:pPr>
      <w:r>
        <w:t xml:space="preserve">The declaration addresses the negative impacts of COVID-19 on the cultural sector, highlighting structural weaknesses, social, gender, and digital gaps, and challenges in artists’ mobility and informal work.</w:t>
      </w:r>
    </w:p>
    <w:p>
      <w:pPr>
        <w:pStyle w:val="Compact"/>
        <w:numPr>
          <w:ilvl w:val="0"/>
          <w:numId w:val="1001"/>
        </w:numPr>
      </w:pPr>
      <w:r>
        <w:t xml:space="preserve">It emphasizes the importance of regional cooperation, international exchange of knowledge, and strengthening multilateral information systems for cultural sector recovery.</w:t>
      </w:r>
    </w:p>
    <w:p>
      <w:pPr>
        <w:pStyle w:val="Compact"/>
        <w:numPr>
          <w:ilvl w:val="0"/>
          <w:numId w:val="1001"/>
        </w:numPr>
      </w:pPr>
      <w:r>
        <w:t xml:space="preserve">The document commits to policies for reactivating the cultural sector, protecting cultural heritage, formalizing cultural workers, and improving their professional and economic conditions.</w:t>
      </w:r>
    </w:p>
    <w:p>
      <w:pPr>
        <w:pStyle w:val="Compact"/>
        <w:numPr>
          <w:ilvl w:val="0"/>
          <w:numId w:val="1001"/>
        </w:numPr>
      </w:pPr>
      <w:r>
        <w:t xml:space="preserve">It promotes the use of technology to support culture, arts, and creative industries, and stresses the role of culture in social cohesion and sustainable development.</w:t>
      </w:r>
    </w:p>
    <w:p>
      <w:pPr>
        <w:pStyle w:val="Compact"/>
        <w:numPr>
          <w:ilvl w:val="0"/>
          <w:numId w:val="1001"/>
        </w:numPr>
      </w:pPr>
      <w:r>
        <w:t xml:space="preserve">The declaration supports cultural internationalization, decentralization of culture, and combating illicit trafficking of cultural goods, while fostering public-private-civil society collaboration.</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Governments; Government Officials; Southern Common Market</w:t>
            </w:r>
          </w:p>
        </w:tc>
      </w:tr>
    </w:tbl>
    <w:bookmarkEnd w:id="22"/>
    <w:bookmarkStart w:id="23" w:name="main-themes"/>
    <w:p>
      <w:pPr>
        <w:pStyle w:val="Heading2"/>
      </w:pPr>
      <w:r>
        <w:t xml:space="preserve">Main Themes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Inclusion &amp; Social Development</w:t>
            </w:r>
          </w:p>
        </w:tc>
        <w:tc>
          <w:tcPr/>
          <w:p>
            <w:pPr>
              <w:pStyle w:val="Compact"/>
            </w:pPr>
            <w:r>
              <w:t xml:space="preserve">Digital Inclusion</w:t>
            </w:r>
          </w:p>
        </w:tc>
      </w:tr>
      <w:tr>
        <w:tc>
          <w:tcPr/>
          <w:p>
            <w:pPr>
              <w:pStyle w:val="Compact"/>
            </w:pPr>
            <w:r>
              <w:t xml:space="preserve">Regional &amp; International Cooperation</w:t>
            </w:r>
          </w:p>
        </w:tc>
        <w:tc>
          <w:tcPr/>
          <w:p>
            <w:pPr>
              <w:pStyle w:val="Compact"/>
            </w:pPr>
            <w:r>
              <w:t xml:space="preserve">Multilateralism</w:t>
            </w:r>
          </w:p>
        </w:tc>
      </w:tr>
    </w:tbl>
    <w:bookmarkEnd w:id="23"/>
    <w:bookmarkStart w:id="24" w:name="practical-applications"/>
    <w:p>
      <w:pPr>
        <w:pStyle w:val="Heading2"/>
      </w:pPr>
      <w:r>
        <w:t xml:space="preserve">Practical Applications</w:t>
      </w:r>
    </w:p>
    <w:p>
      <w:pPr>
        <w:pStyle w:val="Compact"/>
        <w:numPr>
          <w:ilvl w:val="0"/>
          <w:numId w:val="1002"/>
        </w:numPr>
      </w:pPr>
      <w:r>
        <w:t xml:space="preserve">Designing and establishing effective policies to reactivate the cultural sector, protect cultural heritage and knowledge, formalize artists and cultural workers, and improve their professional, social, and economic conditions.</w:t>
      </w:r>
    </w:p>
    <w:p>
      <w:pPr>
        <w:pStyle w:val="Compact"/>
        <w:numPr>
          <w:ilvl w:val="0"/>
          <w:numId w:val="1002"/>
        </w:numPr>
      </w:pPr>
      <w:r>
        <w:t xml:space="preserve">Strengthening international and regional cooperation for knowledge exchange and sharing of best practices to address pandemic impacts on the cultural sector.</w:t>
      </w:r>
    </w:p>
    <w:p>
      <w:pPr>
        <w:pStyle w:val="Compact"/>
        <w:numPr>
          <w:ilvl w:val="0"/>
          <w:numId w:val="1002"/>
        </w:numPr>
      </w:pPr>
      <w:r>
        <w:t xml:space="preserve">Enhancing the multilateral information system to measure the economic, social, and environmental relevance of the cultural sector and to design reactivation strategies.</w:t>
      </w:r>
    </w:p>
    <w:p>
      <w:pPr>
        <w:pStyle w:val="Compact"/>
        <w:numPr>
          <w:ilvl w:val="0"/>
          <w:numId w:val="1002"/>
        </w:numPr>
      </w:pPr>
      <w:r>
        <w:t xml:space="preserve">Continuing the design, implementation, promotion, and monitoring of cultural policies that deepen collaboration between the public sector, private sector, and civil society.</w:t>
      </w:r>
    </w:p>
    <w:p>
      <w:pPr>
        <w:pStyle w:val="Compact"/>
        <w:numPr>
          <w:ilvl w:val="0"/>
          <w:numId w:val="1002"/>
        </w:numPr>
      </w:pPr>
      <w:r>
        <w:t xml:space="preserve">Developing initiatives that use technology to promote culture, arts, knowledge, and cultural and creative industries, including cultural, collective, or community enterprises.</w:t>
      </w:r>
    </w:p>
    <w:p>
      <w:pPr>
        <w:pStyle w:val="Compact"/>
        <w:numPr>
          <w:ilvl w:val="0"/>
          <w:numId w:val="1002"/>
        </w:numPr>
      </w:pPr>
      <w:r>
        <w:t xml:space="preserve">Strengthening the institutional framework of MERCOSUR Cultural as a platform for dialogue and exchange of best practices.</w:t>
      </w:r>
    </w:p>
    <w:p>
      <w:pPr>
        <w:pStyle w:val="Compact"/>
        <w:numPr>
          <w:ilvl w:val="0"/>
          <w:numId w:val="1002"/>
        </w:numPr>
      </w:pPr>
      <w:r>
        <w:t xml:space="preserve">Working on regional regulations to promote common spaces and facilitate the exchange of cultural goods and services, as well as the mobility of artists, cultural managers, agents, creators, and workers, especially from ethnic, indigenous, and peasant communities.</w:t>
      </w:r>
    </w:p>
    <w:p>
      <w:pPr>
        <w:pStyle w:val="Compact"/>
        <w:numPr>
          <w:ilvl w:val="0"/>
          <w:numId w:val="1002"/>
        </w:numPr>
      </w:pPr>
      <w:r>
        <w:t xml:space="preserve">Promoting cultural internationalization processes to safeguard and promote cultural diversity.</w:t>
      </w:r>
    </w:p>
    <w:p>
      <w:pPr>
        <w:pStyle w:val="Compact"/>
        <w:numPr>
          <w:ilvl w:val="0"/>
          <w:numId w:val="1002"/>
        </w:numPr>
      </w:pPr>
      <w:r>
        <w:t xml:space="preserve">Promoting decentralization of culture within national territories to guarantee access to cultural rights for all citizens.</w:t>
      </w:r>
    </w:p>
    <w:p>
      <w:pPr>
        <w:pStyle w:val="Compact"/>
        <w:numPr>
          <w:ilvl w:val="0"/>
          <w:numId w:val="1002"/>
        </w:numPr>
      </w:pPr>
      <w:r>
        <w:t xml:space="preserve">Dynamizing trade in cultural goods and services within cultural and creative enterprises, popular economies, including cultural, collective, or community enterprises, and creating or strengthening networking.</w:t>
      </w:r>
    </w:p>
    <w:p>
      <w:pPr>
        <w:pStyle w:val="Compact"/>
        <w:numPr>
          <w:ilvl w:val="0"/>
          <w:numId w:val="1002"/>
        </w:numPr>
      </w:pPr>
      <w:r>
        <w:t xml:space="preserve">Creating appropriate frameworks to preserve tangible and intangible cultural heritage and combat illicit trafficking of cultural goods in the region.</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2025-06-19T15:27:46Z</dcterms:created>
  <dcterms:modified xsi:type="dcterms:W3CDTF">2025-06-19T15:27:46Z</dcterms:modified>
</cp:coreProperties>
</file>

<file path=docProps/custom.xml><?xml version="1.0" encoding="utf-8"?>
<Properties xmlns="http://schemas.openxmlformats.org/officeDocument/2006/custom-properties" xmlns:vt="http://schemas.openxmlformats.org/officeDocument/2006/docPropsVTypes"/>
</file>