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d27a2d670ad980cd3b12bbf808ba3a8821bafa"/>
    <w:p>
      <w:pPr>
        <w:pStyle w:val="Heading1"/>
      </w:pPr>
      <w:r>
        <w:t xml:space="preserve">12th Brazil - European Union Digital Dialogue Joint Communiqué on Digital Cooperation and Strategic Partnership</w:t>
      </w:r>
    </w:p>
    <w:p>
      <w:pPr>
        <w:pStyle w:val="FirstParagraph"/>
      </w:pPr>
      <w:r>
        <w:rPr>
          <w:b/>
          <w:bCs/>
        </w:rPr>
        <w:t xml:space="preserve">Date</w:t>
      </w:r>
      <w:r>
        <w:t xml:space="preserve">: 2024-03-20</w:t>
      </w:r>
    </w:p>
    <w:p>
      <w:pPr>
        <w:pStyle w:val="BodyText"/>
      </w:pPr>
      <w:r>
        <w:rPr>
          <w:b/>
          <w:bCs/>
        </w:rPr>
        <w:t xml:space="preserve">Location</w:t>
      </w:r>
      <w:r>
        <w:t xml:space="preserve">: Brasília, Brazil</w:t>
      </w:r>
    </w:p>
    <w:bookmarkStart w:id="20" w:name="executive-summary"/>
    <w:p>
      <w:pPr>
        <w:pStyle w:val="Heading2"/>
      </w:pPr>
      <w:r>
        <w:t xml:space="preserve">Executive Summary</w:t>
      </w:r>
    </w:p>
    <w:p>
      <w:pPr>
        <w:pStyle w:val="FirstParagraph"/>
      </w:pPr>
      <w:r>
        <w:t xml:space="preserve">The 12th Brazil-European Union Digital Dialogue, held on March 20, 2024, in Brasília, reinforced the Brazil-EU Strategic Partnership by focusing on digital transformation. Key areas discussed included digital connectivity, digital government, 5G/6G technologies, high-performance and quantum computing, AI, data economy, and digital platforms. The dialogue emphasized shared values of democracy, human rights, and sustainable development. Priority cooperation areas were identified: enhancing digital connectivity in underserved Brazilian regions, advancing 5G to 6G collaboration, supporting HPC center cooperation, stabilizing semiconductor supply chains, enabling interoperability of digital signature systems, finalizing data protection adequacy decisions, and aligning regulatory frameworks for the digital economy. Both parties committed to ongoing collaboration and international cooperation to foster an inclusive, secure digital ecosystem. A workplan will guide implementation, with progress reviewed at the next dialogue.</w:t>
      </w:r>
    </w:p>
    <w:bookmarkEnd w:id="20"/>
    <w:bookmarkStart w:id="21" w:name="characteristics"/>
    <w:p>
      <w:pPr>
        <w:pStyle w:val="Heading2"/>
      </w:pPr>
      <w:r>
        <w:t xml:space="preserve">Characteristics</w:t>
      </w:r>
    </w:p>
    <w:p>
      <w:pPr>
        <w:pStyle w:val="Compact"/>
        <w:numPr>
          <w:ilvl w:val="0"/>
          <w:numId w:val="1001"/>
        </w:numPr>
      </w:pPr>
      <w:r>
        <w:t xml:space="preserve">The 12th Brazil-EU Digital Dialogue, held on March 20, 2024, in Brasilia, focuses on digital transformation, including connectivity, digital government, 5G/6G, HPC, quantum computing, AI, and data economy.</w:t>
      </w:r>
    </w:p>
    <w:p>
      <w:pPr>
        <w:pStyle w:val="Compact"/>
        <w:numPr>
          <w:ilvl w:val="0"/>
          <w:numId w:val="1001"/>
        </w:numPr>
      </w:pPr>
      <w:r>
        <w:t xml:space="preserve">It builds on the Brazil-EU Strategic Partnership (established 2007) and emphasizes shared values of democracy, human rights, and sustainable development.</w:t>
      </w:r>
    </w:p>
    <w:p>
      <w:pPr>
        <w:pStyle w:val="Compact"/>
        <w:numPr>
          <w:ilvl w:val="0"/>
          <w:numId w:val="1001"/>
        </w:numPr>
      </w:pPr>
      <w:r>
        <w:t xml:space="preserve">Priority cooperation areas include digital connectivity in underserved Brazilian regions, 5G/6G technology collaboration, HPC center cooperation, semiconductor supply chain resilience, and digital signature interoperability.</w:t>
      </w:r>
    </w:p>
    <w:p>
      <w:pPr>
        <w:pStyle w:val="Compact"/>
        <w:numPr>
          <w:ilvl w:val="0"/>
          <w:numId w:val="1001"/>
        </w:numPr>
      </w:pPr>
      <w:r>
        <w:t xml:space="preserve">The dialogue also targets data protection, international data flows, AI regulation, digital economy frameworks, and promoting an inclusive digital ecosystem in international forums.</w:t>
      </w:r>
    </w:p>
    <w:p>
      <w:pPr>
        <w:pStyle w:val="Compact"/>
        <w:numPr>
          <w:ilvl w:val="0"/>
          <w:numId w:val="1001"/>
        </w:numPr>
      </w:pPr>
      <w:r>
        <w:t xml:space="preserve">Implementation will be guided by an operational workplan, with progress reviewed at future dialogues to strengthen Brazil-EU digital partnership and innovation.</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 of Brazil; European Union; EU Delegations; European Commission; European Parliament; European Council</w:t>
            </w:r>
          </w:p>
        </w:tc>
      </w:tr>
      <w:tr>
        <w:tc>
          <w:tcPr/>
          <w:p>
            <w:pPr>
              <w:pStyle w:val="Compact"/>
            </w:pPr>
            <w:r>
              <w:t xml:space="preserve">Economic Actors</w:t>
            </w:r>
          </w:p>
        </w:tc>
        <w:tc>
          <w:tcPr/>
          <w:p>
            <w:pPr>
              <w:pStyle w:val="Compact"/>
            </w:pPr>
            <w:r>
              <w:t xml:space="preserve">Bilateral Projects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Connectivity; Digital Platforms; Digital Economy; Digital Policy</w:t>
            </w:r>
          </w:p>
        </w:tc>
      </w:tr>
      <w:tr>
        <w:tc>
          <w:tcPr/>
          <w:p>
            <w:pPr>
              <w:pStyle w:val="Compact"/>
            </w:pPr>
            <w:r>
              <w:t xml:space="preserve">Technology &amp; Innovation</w:t>
            </w:r>
          </w:p>
        </w:tc>
        <w:tc>
          <w:tcPr/>
          <w:p>
            <w:pPr>
              <w:pStyle w:val="Compact"/>
            </w:pPr>
            <w:r>
              <w:t xml:space="preserve">Artificial Intelligence; 5G; High-Performance Computing; Quantum Technologies</w:t>
            </w:r>
          </w:p>
        </w:tc>
      </w:tr>
      <w:tr>
        <w:tc>
          <w:tcPr/>
          <w:p>
            <w:pPr>
              <w:pStyle w:val="Compact"/>
            </w:pPr>
            <w:r>
              <w:t xml:space="preserve">Data &amp; Governance</w:t>
            </w:r>
          </w:p>
        </w:tc>
        <w:tc>
          <w:tcPr/>
          <w:p>
            <w:pPr>
              <w:pStyle w:val="Compact"/>
            </w:pPr>
            <w:r>
              <w:t xml:space="preserve">Data Governance; Digital Governance; Data Protection</w:t>
            </w:r>
          </w:p>
        </w:tc>
      </w:tr>
      <w:tr>
        <w:tc>
          <w:tcPr/>
          <w:p>
            <w:pPr>
              <w:pStyle w:val="Compact"/>
            </w:pPr>
            <w:r>
              <w:t xml:space="preserve">Inclusion &amp; Social Development</w:t>
            </w:r>
          </w:p>
        </w:tc>
        <w:tc>
          <w:tcPr/>
          <w:p>
            <w:pPr>
              <w:pStyle w:val="Compact"/>
            </w:pPr>
            <w:r>
              <w:t xml:space="preserve">Digital Inclusion</w:t>
            </w:r>
          </w:p>
        </w:tc>
      </w:tr>
      <w:tr>
        <w:tc>
          <w:tcPr/>
          <w:p>
            <w:pPr>
              <w:pStyle w:val="Compact"/>
            </w:pPr>
            <w:r>
              <w:t xml:space="preserve">Regional &amp; International Cooperation</w:t>
            </w:r>
          </w:p>
        </w:tc>
        <w:tc>
          <w:tcPr/>
          <w:p>
            <w:pPr>
              <w:pStyle w:val="Compact"/>
            </w:pPr>
            <w:r>
              <w:t xml:space="preserve">EU-LAC Digital Alliance;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Cooperation on meaningful digital connectivity projects, particularly in under-served regions of Brazil such as the Amazon region, to drive social inclusion.</w:t>
      </w:r>
    </w:p>
    <w:p>
      <w:pPr>
        <w:pStyle w:val="Compact"/>
        <w:numPr>
          <w:ilvl w:val="0"/>
          <w:numId w:val="1002"/>
        </w:numPr>
      </w:pPr>
      <w:r>
        <w:t xml:space="preserve">Extension of existing cooperation between EU and Brazil stakeholders on 5G to 6G technologies, including exploring potential 5G use cases in key economic sectors like agriculture, energy, and mobility.</w:t>
      </w:r>
    </w:p>
    <w:p>
      <w:pPr>
        <w:pStyle w:val="Compact"/>
        <w:numPr>
          <w:ilvl w:val="0"/>
          <w:numId w:val="1002"/>
        </w:numPr>
      </w:pPr>
      <w:r>
        <w:t xml:space="preserve">Support for enhanced cooperation between Brazilian and EU High Performance Computing (HPC) centres, including collaboration on HPC applications.</w:t>
      </w:r>
    </w:p>
    <w:p>
      <w:pPr>
        <w:pStyle w:val="Compact"/>
        <w:numPr>
          <w:ilvl w:val="0"/>
          <w:numId w:val="1002"/>
        </w:numPr>
      </w:pPr>
      <w:r>
        <w:t xml:space="preserve">Knowledge sharing and exchange on cooperation initiatives aimed at the stability and resilience of semiconductor global supply chains.</w:t>
      </w:r>
    </w:p>
    <w:p>
      <w:pPr>
        <w:pStyle w:val="Compact"/>
        <w:numPr>
          <w:ilvl w:val="0"/>
          <w:numId w:val="1002"/>
        </w:numPr>
      </w:pPr>
      <w:r>
        <w:t xml:space="preserve">Work on the technical interoperability of Brazil and EU digital signature systems with a view to possible future mutual recognition.</w:t>
      </w:r>
    </w:p>
    <w:p>
      <w:pPr>
        <w:pStyle w:val="Compact"/>
        <w:numPr>
          <w:ilvl w:val="0"/>
          <w:numId w:val="1002"/>
        </w:numPr>
      </w:pPr>
      <w:r>
        <w:t xml:space="preserve">Continuation of dialogue on data protection and international data flows, aiming to finalize mutual adequacy decisions.</w:t>
      </w:r>
    </w:p>
    <w:p>
      <w:pPr>
        <w:pStyle w:val="Compact"/>
        <w:numPr>
          <w:ilvl w:val="0"/>
          <w:numId w:val="1002"/>
        </w:numPr>
      </w:pPr>
      <w:r>
        <w:t xml:space="preserve">Exchange of best practices and promotion of cooperation, including research, on regulatory frameworks for the digital economy covering data governance, artificial intelligence, and digital platforms to explore common principles and possible convergence.</w:t>
      </w:r>
    </w:p>
    <w:p>
      <w:pPr>
        <w:pStyle w:val="Compact"/>
        <w:numPr>
          <w:ilvl w:val="0"/>
          <w:numId w:val="1002"/>
        </w:numPr>
      </w:pPr>
      <w:r>
        <w:t xml:space="preserve">Cooperation in international fora to promote an inclusive digital ecosystem based on shared values of democracy, human rights, and sustainable development in the digital domain.</w:t>
      </w:r>
    </w:p>
    <w:bookmarkEnd w:id="24"/>
    <w:bookmarkStart w:id="25" w:name="commitments"/>
    <w:p>
      <w:pPr>
        <w:pStyle w:val="Heading2"/>
      </w:pPr>
      <w:r>
        <w:t xml:space="preserve">Commitments</w:t>
      </w:r>
    </w:p>
    <w:p>
      <w:pPr>
        <w:pStyle w:val="Compact"/>
        <w:numPr>
          <w:ilvl w:val="0"/>
          <w:numId w:val="1003"/>
        </w:numPr>
      </w:pPr>
      <w:r>
        <w:t xml:space="preserve">[</w:t>
      </w:r>
    </w:p>
    <w:p>
      <w:pPr>
        <w:pStyle w:val="Compact"/>
        <w:numPr>
          <w:ilvl w:val="0"/>
          <w:numId w:val="1003"/>
        </w:numPr>
      </w:pPr>
      <w:r>
        <w:t xml:space="preserve">“Cooperate on meaningful digital connectivity projects, particularly in under-served regions of Brazil such as the Amazon region, as a driver for social inclusion (no specific deadline provided).”</w:t>
      </w:r>
      <w:r>
        <w:t xml:space="preserve">,</w:t>
      </w:r>
    </w:p>
    <w:p>
      <w:pPr>
        <w:pStyle w:val="Compact"/>
        <w:numPr>
          <w:ilvl w:val="0"/>
          <w:numId w:val="1003"/>
        </w:numPr>
      </w:pPr>
      <w:r>
        <w:t xml:space="preserve">“Explore the extension of existing cooperation between EU and Brazil stakeholders on 5G to 6G technologies and potential 5G use cases in key economic sectors such as agriculture, energy, and mobility (no specific deadline provided).”</w:t>
      </w:r>
      <w:r>
        <w:t xml:space="preserve">,</w:t>
      </w:r>
    </w:p>
    <w:p>
      <w:pPr>
        <w:pStyle w:val="Compact"/>
        <w:numPr>
          <w:ilvl w:val="0"/>
          <w:numId w:val="1003"/>
        </w:numPr>
      </w:pPr>
      <w:r>
        <w:t xml:space="preserve">“Support enhanced cooperation between Brazilian and EU High Performance Computing centres, including on HPC applications (no specific deadline provided).”</w:t>
      </w:r>
      <w:r>
        <w:t xml:space="preserve">,</w:t>
      </w:r>
    </w:p>
    <w:p>
      <w:pPr>
        <w:pStyle w:val="Compact"/>
        <w:numPr>
          <w:ilvl w:val="0"/>
          <w:numId w:val="1003"/>
        </w:numPr>
      </w:pPr>
      <w:r>
        <w:t xml:space="preserve">“Foster knowledge sharing and exchange on cooperation initiatives aiming at the stability and resilience of semiconductor global supply chains (no specific deadline provided).”</w:t>
      </w:r>
      <w:r>
        <w:t xml:space="preserve">,</w:t>
      </w:r>
    </w:p>
    <w:p>
      <w:pPr>
        <w:pStyle w:val="Compact"/>
        <w:numPr>
          <w:ilvl w:val="0"/>
          <w:numId w:val="1003"/>
        </w:numPr>
      </w:pPr>
      <w:r>
        <w:t xml:space="preserve">“Work on the technical interoperability of Brazil and EU digital signature systems in view of possible future mutual recognition (no specific deadline provided).”</w:t>
      </w:r>
      <w:r>
        <w:t xml:space="preserve">,</w:t>
      </w:r>
    </w:p>
    <w:p>
      <w:pPr>
        <w:pStyle w:val="Compact"/>
        <w:numPr>
          <w:ilvl w:val="0"/>
          <w:numId w:val="1003"/>
        </w:numPr>
      </w:pPr>
      <w:r>
        <w:t xml:space="preserve">“Continue dialogue on data protection and international data flows, with a view to finalizing mutual adequacy decisions (no specific deadline provided).”</w:t>
      </w:r>
      <w:r>
        <w:t xml:space="preserve">,</w:t>
      </w:r>
    </w:p>
    <w:p>
      <w:pPr>
        <w:pStyle w:val="Compact"/>
        <w:numPr>
          <w:ilvl w:val="0"/>
          <w:numId w:val="1003"/>
        </w:numPr>
      </w:pPr>
      <w:r>
        <w:t xml:space="preserve">“Exchange best practices and promote cooperation on research and regulatory frameworks for the digital economy, including data governance, artificial intelligence, and digital platforms, aiming to explore common principles and possible convergence (no specific deadline provided).”</w:t>
      </w:r>
      <w:r>
        <w:t xml:space="preserve">,</w:t>
      </w:r>
    </w:p>
    <w:p>
      <w:pPr>
        <w:pStyle w:val="Compact"/>
        <w:numPr>
          <w:ilvl w:val="0"/>
          <w:numId w:val="1003"/>
        </w:numPr>
      </w:pPr>
      <w:r>
        <w:t xml:space="preserve">“Cooperate in international fora to promote an inclusive digital ecosystem based on shared values of democracy, human rights, and sustainable development in the digital domain (no specific deadline provided).”</w:t>
      </w:r>
    </w:p>
    <w:p>
      <w:pPr>
        <w:pStyle w:val="Compact"/>
        <w:numPr>
          <w:ilvl w:val="0"/>
          <w:numId w:val="1003"/>
        </w:numPr>
      </w:pPr>
      <w:r>
        <w:t xml:space="preserv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2025-06-19T15:55:04Z</dcterms:created>
  <dcterms:modified xsi:type="dcterms:W3CDTF">2025-06-19T15:55:04Z</dcterms:modified>
</cp:coreProperties>
</file>

<file path=docProps/custom.xml><?xml version="1.0" encoding="utf-8"?>
<Properties xmlns="http://schemas.openxmlformats.org/officeDocument/2006/custom-properties" xmlns:vt="http://schemas.openxmlformats.org/officeDocument/2006/docPropsVTypes"/>
</file>