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6dd9e38bae071b572d773bbda30f44e0dc7ead"/>
    <w:p>
      <w:pPr>
        <w:pStyle w:val="Heading1"/>
      </w:pPr>
      <w:r>
        <w:t xml:space="preserve">EU-LAC Dialogues and EU-Mercosur &amp; Chile Workshop on Sustainable Food Systems</w:t>
      </w:r>
    </w:p>
    <w:p>
      <w:pPr>
        <w:pStyle w:val="FirstParagraph"/>
      </w:pPr>
      <w:r>
        <w:rPr>
          <w:b/>
          <w:bCs/>
        </w:rPr>
        <w:t xml:space="preserve">Date</w:t>
      </w:r>
      <w:r>
        <w:t xml:space="preserve">: 2022-05-16</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EU-Latin America and the Caribbean (LAC) Dialogues on Sustainable Food Systems aim to foster strategic partnerships to accelerate the transition to sustainable agriculture and food systems. Supported by the EU’s Foreign Policy Instruments and the EU-LAC Policy Dialogue Facility, these dialogues include four sub-regional workshops and a concluding bi-regional conference planned for late 2022. Key workshops involved EU collaboration with Central America, Mercosur countries, and Chile, focusing on shared challenges such as sustainable livestock production, food loss and waste reduction, soil health, and innovation. The dialogues emphasize alignment with the EU Farm to Fork Strategy and global sustainability goals, including the 2030 Agenda and UN Sustainable Development Goals. Participants, including policymakers and private sector representatives, committed to ongoing cooperation, public-private partnerships, and sharing best practices to build resilient, inclusive, and environmentally sustainable food systems amid global challenges like the pandemic and geopolitical tensions.</w:t>
      </w:r>
    </w:p>
    <w:bookmarkEnd w:id="20"/>
    <w:bookmarkStart w:id="21" w:name="characteristics"/>
    <w:p>
      <w:pPr>
        <w:pStyle w:val="Heading2"/>
      </w:pPr>
      <w:r>
        <w:t xml:space="preserve">Characteristics</w:t>
      </w:r>
    </w:p>
    <w:p>
      <w:pPr>
        <w:pStyle w:val="Compact"/>
        <w:numPr>
          <w:ilvl w:val="0"/>
          <w:numId w:val="1001"/>
        </w:numPr>
      </w:pPr>
      <w:r>
        <w:t xml:space="preserve">The EU-LAC Dialogues focus on accelerating the transition to sustainable food systems and agricultural production through strategic partnerships and constructive exchanges.</w:t>
      </w:r>
    </w:p>
    <w:p>
      <w:pPr>
        <w:pStyle w:val="Compact"/>
        <w:numPr>
          <w:ilvl w:val="0"/>
          <w:numId w:val="1001"/>
        </w:numPr>
      </w:pPr>
      <w:r>
        <w:t xml:space="preserve">Workshops cover sub-regions including EU-Mercosur and Chile, Central America, and Colombia, Ecuador, and Peru, addressing topics like the EU Farm to Fork Strategy, sustainable livestock, pesticide use, and food loss reduction.</w:t>
      </w:r>
    </w:p>
    <w:p>
      <w:pPr>
        <w:pStyle w:val="Compact"/>
        <w:numPr>
          <w:ilvl w:val="0"/>
          <w:numId w:val="1001"/>
        </w:numPr>
      </w:pPr>
      <w:r>
        <w:t xml:space="preserve">The EU-Mercosur and Chile workshop emphasized cooperation on sustainable livestock production, food loss and waste, soil health, and innovation, aligning with the EU Green Deal and Farm to Fork Strategy.</w:t>
      </w:r>
    </w:p>
    <w:p>
      <w:pPr>
        <w:pStyle w:val="Compact"/>
        <w:numPr>
          <w:ilvl w:val="0"/>
          <w:numId w:val="1001"/>
        </w:numPr>
      </w:pPr>
      <w:r>
        <w:t xml:space="preserve">Key stakeholders include EU representatives, Ministries of Agriculture and Environment from Mercosur countries and Chile, and private sector actors, promoting inclusive, participatory approaches aligned with the 2030 Agenda and UN Sustainable Development Goals.</w:t>
      </w:r>
    </w:p>
    <w:p>
      <w:pPr>
        <w:pStyle w:val="Compact"/>
        <w:numPr>
          <w:ilvl w:val="0"/>
          <w:numId w:val="1001"/>
        </w:numPr>
      </w:pPr>
      <w:r>
        <w:t xml:space="preserve">The dialogues aim to foster ongoing collaboration, public-private partnerships, and sharing of best practices to support global food system sustainability and resilience.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Southern Common Market; Governments; Government Officials; Policy Level Representatives</w:t>
            </w:r>
          </w:p>
        </w:tc>
      </w:tr>
      <w:tr>
        <w:tc>
          <w:tcPr/>
          <w:p>
            <w:pPr>
              <w:pStyle w:val="Compact"/>
            </w:pPr>
            <w:r>
              <w:t xml:space="preserve">Economic Actors</w:t>
            </w:r>
          </w:p>
        </w:tc>
        <w:tc>
          <w:tcPr/>
          <w:p>
            <w:pPr>
              <w:pStyle w:val="Compact"/>
            </w:pPr>
            <w:r>
              <w:t xml:space="preserve">Private Sector Representatives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w:t>
            </w:r>
          </w:p>
        </w:tc>
      </w:tr>
      <w:tr>
        <w:tc>
          <w:tcPr/>
          <w:p>
            <w:pPr>
              <w:pStyle w:val="Compact"/>
            </w:pPr>
            <w:r>
              <w:t xml:space="preserve">Inclusion &amp; Social Development</w:t>
            </w:r>
          </w:p>
        </w:tc>
        <w:tc>
          <w:tcPr/>
          <w:p>
            <w:pPr>
              <w:pStyle w:val="Compact"/>
            </w:pPr>
            <w:r>
              <w:t xml:space="preserve">Digital Inclusion</w:t>
            </w:r>
          </w:p>
        </w:tc>
      </w:tr>
    </w:tbl>
    <w:bookmarkEnd w:id="23"/>
    <w:bookmarkStart w:id="24" w:name="practical-applications"/>
    <w:p>
      <w:pPr>
        <w:pStyle w:val="Heading2"/>
      </w:pPr>
      <w:r>
        <w:t xml:space="preserve">Practical Applications</w:t>
      </w:r>
    </w:p>
    <w:p>
      <w:pPr>
        <w:pStyle w:val="Compact"/>
        <w:numPr>
          <w:ilvl w:val="0"/>
          <w:numId w:val="1002"/>
        </w:numPr>
      </w:pPr>
      <w:r>
        <w:t xml:space="preserve">Organisation of EU-Latin America and the Caribbean (LAC) Dialogues on Sustainable Food Systems, supported by the Foreign Policy Instruments (FPI) and the EU-LAC Policy Dialogue Facility, including four sub-regional workshops and a concluding bi-regional conference.</w:t>
      </w:r>
    </w:p>
    <w:p>
      <w:pPr>
        <w:pStyle w:val="Compact"/>
        <w:numPr>
          <w:ilvl w:val="0"/>
          <w:numId w:val="1002"/>
        </w:numPr>
      </w:pPr>
      <w:r>
        <w:t xml:space="preserve">Conducting sub-regional workshops focused on sustainable agriculture and food systems, such as:</w:t>
      </w:r>
    </w:p>
    <w:p>
      <w:pPr>
        <w:pStyle w:val="Compact"/>
        <w:numPr>
          <w:ilvl w:val="0"/>
          <w:numId w:val="1002"/>
        </w:numPr>
      </w:pPr>
      <w:r>
        <w:t xml:space="preserve">EU-Mercosur and Chile Workshop (May 16-17, 2022) addressing sustainable livestock production, food loss and waste, and soil health and innovation.</w:t>
      </w:r>
    </w:p>
    <w:p>
      <w:pPr>
        <w:pStyle w:val="Compact"/>
        <w:numPr>
          <w:ilvl w:val="0"/>
          <w:numId w:val="1002"/>
        </w:numPr>
      </w:pPr>
      <w:r>
        <w:t xml:space="preserve">EU-Colombia, Ecuador and Peru Workshop (September 28-29, 2022) discussing sustainable use of pesticides and food loss and waste.</w:t>
      </w:r>
    </w:p>
    <w:p>
      <w:pPr>
        <w:pStyle w:val="Compact"/>
        <w:numPr>
          <w:ilvl w:val="0"/>
          <w:numId w:val="1002"/>
        </w:numPr>
      </w:pPr>
      <w:r>
        <w:t xml:space="preserve">EU-Central America Workshop (March 22-23, 2022) covering the EU Farm to Fork Strategy, responsible food business practices, climate actions, soil protection, and reducing food loss and waste.</w:t>
      </w:r>
    </w:p>
    <w:p>
      <w:pPr>
        <w:pStyle w:val="Compact"/>
        <w:numPr>
          <w:ilvl w:val="0"/>
          <w:numId w:val="1002"/>
        </w:numPr>
      </w:pPr>
      <w:r>
        <w:t xml:space="preserve">Engagement of policy makers from the EU, MERCOSUR countries, and Chile, including Ministries of Agriculture and Environment, and private sector representatives, to identify areas of convergence and develop cooperation strategies.</w:t>
      </w:r>
    </w:p>
    <w:p>
      <w:pPr>
        <w:pStyle w:val="Compact"/>
        <w:numPr>
          <w:ilvl w:val="0"/>
          <w:numId w:val="1002"/>
        </w:numPr>
      </w:pPr>
      <w:r>
        <w:t xml:space="preserve">Promotion of public and private partnerships and sharing of good practices to enable the transition to sustainable and resilient food systems globally.</w:t>
      </w:r>
    </w:p>
    <w:p>
      <w:pPr>
        <w:pStyle w:val="Compact"/>
        <w:numPr>
          <w:ilvl w:val="0"/>
          <w:numId w:val="1002"/>
        </w:numPr>
      </w:pPr>
      <w:r>
        <w:t xml:space="preserve">Alignment of national strategies (e.g., Chile’s strategy for inclusive food systems) with international priorities such as the 2030 Agenda and UN Sustainable Development Goals.</w:t>
      </w:r>
    </w:p>
    <w:p>
      <w:pPr>
        <w:pStyle w:val="Compact"/>
        <w:numPr>
          <w:ilvl w:val="0"/>
          <w:numId w:val="1002"/>
        </w:numPr>
      </w:pPr>
      <w:r>
        <w:t xml:space="preserve">Support for the EU-MERCOSUR Free Trade Agreement as part of a bi-regional Association Agreement to enhance cooperation on sustainable food systems.</w:t>
      </w:r>
    </w:p>
    <w:bookmarkEnd w:id="24"/>
    <w:bookmarkStart w:id="25" w:name="commitments"/>
    <w:p>
      <w:pPr>
        <w:pStyle w:val="Heading2"/>
      </w:pPr>
      <w:r>
        <w:t xml:space="preserve">Commitments</w:t>
      </w:r>
    </w:p>
    <w:p>
      <w:pPr>
        <w:pStyle w:val="Compact"/>
        <w:numPr>
          <w:ilvl w:val="0"/>
          <w:numId w:val="1003"/>
        </w:numPr>
      </w:pPr>
      <w:r>
        <w:t xml:space="preserve">Organize a total of four sub-regional workshops on sustainable food systems, concluding with a bi-regional conference expected to take place at the end of 2022.</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2025-06-19T16:36:30Z</dcterms:created>
  <dcterms:modified xsi:type="dcterms:W3CDTF">2025-06-19T16:36:30Z</dcterms:modified>
</cp:coreProperties>
</file>

<file path=docProps/custom.xml><?xml version="1.0" encoding="utf-8"?>
<Properties xmlns="http://schemas.openxmlformats.org/officeDocument/2006/custom-properties" xmlns:vt="http://schemas.openxmlformats.org/officeDocument/2006/docPropsVTypes"/>
</file>