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8d8e37fa4961ad2685f1095a492b649657403f"/>
    <w:p>
      <w:pPr>
        <w:pStyle w:val="Heading1"/>
      </w:pPr>
      <w:r>
        <w:t xml:space="preserve">European Council Conclusions from the Meeting on 21-22 March 2024</w:t>
      </w:r>
    </w:p>
    <w:p>
      <w:pPr>
        <w:pStyle w:val="FirstParagraph"/>
      </w:pPr>
      <w:r>
        <w:rPr>
          <w:b/>
          <w:bCs/>
        </w:rPr>
        <w:t xml:space="preserve">Date</w:t>
      </w:r>
      <w:r>
        <w:t xml:space="preserve">: 2024-03-22</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Council meeting on 21-22 March 2024 focused on key global challenges, notably the ongoing war in Ukraine, security and defence, the Middle East crisis, enlargement, and migration. The Council reaffirmed unwavering support for Ukraine’s sovereignty, committing intensified military, financial, and humanitarian aid, and called for stronger sanctions against Russia and its allies. It emphasized enhancing EU defence capabilities, industrial base, and readiness, complementing NATO. On the Middle East, the Council condemned Hamas, urged a humanitarian pause in Gaza, and supported a two-state solution. Enlargement discussions included opening accession talks with Bosnia and Herzegovina and progress on Ukraine, Moldova, and Georgia. Migration efforts aim to combat smuggling and trafficking globally. The Council also addressed agricultural sector challenges, crisis preparedness, and endorsed economic policy priorities. It highlighted the importance of coordinated EU action to address security, humanitarian, and geopolitical issues.</w:t>
      </w:r>
    </w:p>
    <w:bookmarkEnd w:id="20"/>
    <w:bookmarkStart w:id="21" w:name="characteristics"/>
    <w:p>
      <w:pPr>
        <w:pStyle w:val="Heading2"/>
      </w:pPr>
      <w:r>
        <w:t xml:space="preserve">Characteristics</w:t>
      </w:r>
    </w:p>
    <w:p>
      <w:pPr>
        <w:pStyle w:val="Compact"/>
        <w:numPr>
          <w:ilvl w:val="0"/>
          <w:numId w:val="1001"/>
        </w:numPr>
      </w:pPr>
      <w:r>
        <w:t xml:space="preserve">The European Council reaffirms strong support for Ukraine’s sovereignty amid Russia’s aggression, committing extensive political, financial, military, and humanitarian aid.</w:t>
      </w:r>
    </w:p>
    <w:p>
      <w:pPr>
        <w:pStyle w:val="Compact"/>
        <w:numPr>
          <w:ilvl w:val="0"/>
          <w:numId w:val="1001"/>
        </w:numPr>
      </w:pPr>
      <w:r>
        <w:t xml:space="preserve">It emphasizes accelerating military assistance, including air defense and ammunition, and calls for intensified sanctions against Russia and its allies.</w:t>
      </w:r>
    </w:p>
    <w:p>
      <w:pPr>
        <w:pStyle w:val="Compact"/>
        <w:numPr>
          <w:ilvl w:val="0"/>
          <w:numId w:val="1001"/>
        </w:numPr>
      </w:pPr>
      <w:r>
        <w:t xml:space="preserve">The Council stresses enhancing EU defense capabilities, readiness, and industrial base, promoting joint investments and reducing strategic dependencies.</w:t>
      </w:r>
    </w:p>
    <w:p>
      <w:pPr>
        <w:pStyle w:val="Compact"/>
        <w:numPr>
          <w:ilvl w:val="0"/>
          <w:numId w:val="1001"/>
        </w:numPr>
      </w:pPr>
      <w:r>
        <w:t xml:space="preserve">It calls for immediate humanitarian pauses and ceasefires in the Middle East, condemns violence, and supports a two-state solution for Israel and Palestine.</w:t>
      </w:r>
    </w:p>
    <w:p>
      <w:pPr>
        <w:pStyle w:val="Compact"/>
        <w:numPr>
          <w:ilvl w:val="0"/>
          <w:numId w:val="1001"/>
        </w:numPr>
      </w:pPr>
      <w:r>
        <w:t xml:space="preserve">Enlargement talks progress with Bosnia and Herzegovina; reforms in Ukraine, Moldova, and Georgia are encouraged.</w:t>
      </w:r>
    </w:p>
    <w:p>
      <w:pPr>
        <w:pStyle w:val="Compact"/>
        <w:numPr>
          <w:ilvl w:val="0"/>
          <w:numId w:val="1001"/>
        </w:numPr>
      </w:pPr>
      <w:r>
        <w:t xml:space="preserve">The Council addresses migration challenges, agricultural sector stability, crisis preparedness, and endorses economic policy priorities for sustainable growth.</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Council; European Union; EU Member States; European Commission; Council; High Representative; United Nations; United Nations Officials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Policy</w:t>
            </w:r>
          </w:p>
        </w:tc>
      </w:tr>
      <w:tr>
        <w:tc>
          <w:tcPr/>
          <w:p>
            <w:pPr>
              <w:pStyle w:val="Compact"/>
            </w:pPr>
            <w:r>
              <w:t xml:space="preserve">Technology &amp; Innovation</w:t>
            </w:r>
          </w:p>
        </w:tc>
        <w:tc>
          <w:tcPr/>
          <w:p>
            <w:pPr>
              <w:pStyle w:val="Compact"/>
            </w:pPr>
            <w:r>
              <w:t xml:space="preserve">Technology Regulations</w:t>
            </w:r>
          </w:p>
        </w:tc>
      </w:tr>
      <w:tr>
        <w:tc>
          <w:tcPr/>
          <w:p>
            <w:pPr>
              <w:pStyle w:val="Compact"/>
            </w:pPr>
            <w:r>
              <w:t xml:space="preserve">Data &amp; Governance</w:t>
            </w:r>
          </w:p>
        </w:tc>
        <w:tc>
          <w:tcPr/>
          <w:p>
            <w:pPr>
              <w:pStyle w:val="Compact"/>
            </w:pPr>
            <w:r>
              <w:t xml:space="preserve">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The European Union and Member States are speeding up and intensifying the delivery of military assistance to Ukraine, including air defence systems, ammunition, and missiles, with initiatives such as Czechia’s urgent procurement of ammunition to fulfill the EU commitment of providing one million rounds of artillery ammunition.</w:t>
      </w:r>
    </w:p>
    <w:p>
      <w:pPr>
        <w:pStyle w:val="Compact"/>
        <w:numPr>
          <w:ilvl w:val="0"/>
          <w:numId w:val="1002"/>
        </w:numPr>
      </w:pPr>
      <w:r>
        <w:t xml:space="preserve">Adoption of the Council Decision regarding a Ukraine Assistance Fund to ensure continuation of military support for Ukraine under the European Peace Facility, with ongoing work on the 8th support package.</w:t>
      </w:r>
    </w:p>
    <w:p>
      <w:pPr>
        <w:pStyle w:val="Compact"/>
        <w:numPr>
          <w:ilvl w:val="0"/>
          <w:numId w:val="1002"/>
        </w:numPr>
      </w:pPr>
      <w:r>
        <w:t xml:space="preserve">Increased capacity of the EU Military Assistance Mission (EUMAM) in Ukraine.</w:t>
      </w:r>
    </w:p>
    <w:p>
      <w:pPr>
        <w:pStyle w:val="Compact"/>
        <w:numPr>
          <w:ilvl w:val="0"/>
          <w:numId w:val="1002"/>
        </w:numPr>
      </w:pPr>
      <w:r>
        <w:t xml:space="preserve">Work is underway to direct extraordinary revenues from Russia’s immobilised assets for Ukraine’s benefit, including possible funding of military support.</w:t>
      </w:r>
    </w:p>
    <w:p>
      <w:pPr>
        <w:pStyle w:val="Compact"/>
        <w:numPr>
          <w:ilvl w:val="0"/>
          <w:numId w:val="1002"/>
        </w:numPr>
      </w:pPr>
      <w:r>
        <w:t xml:space="preserve">Adoption of the 13th package of sanctions against Russia, with calls to strengthen sanctions enforcement, close loopholes, and prepare further sanctions against Belarus, North Korea, and Iran.</w:t>
      </w:r>
    </w:p>
    <w:p>
      <w:pPr>
        <w:pStyle w:val="Compact"/>
        <w:numPr>
          <w:ilvl w:val="0"/>
          <w:numId w:val="1002"/>
        </w:numPr>
      </w:pPr>
      <w:r>
        <w:t xml:space="preserve">The EU is prepared to respond swiftly with restrictive measures against Iran if it transfers ballistic missiles or related technology to Russia.</w:t>
      </w:r>
    </w:p>
    <w:p>
      <w:pPr>
        <w:pStyle w:val="Compact"/>
        <w:numPr>
          <w:ilvl w:val="0"/>
          <w:numId w:val="1002"/>
        </w:numPr>
      </w:pPr>
      <w:r>
        <w:t xml:space="preserve">Strengthening of the European Union Advisory Mission (EUAM) in Ukraine to support law enforcement agencies and reforms related to EU accession.</w:t>
      </w:r>
    </w:p>
    <w:p>
      <w:pPr>
        <w:pStyle w:val="Compact"/>
        <w:numPr>
          <w:ilvl w:val="0"/>
          <w:numId w:val="1002"/>
        </w:numPr>
      </w:pPr>
      <w:r>
        <w:t xml:space="preserve">Support for psychological and psychosocial rehabilitation and increased demining assistance in Ukraine.</w:t>
      </w:r>
    </w:p>
    <w:p>
      <w:pPr>
        <w:pStyle w:val="Compact"/>
        <w:numPr>
          <w:ilvl w:val="0"/>
          <w:numId w:val="1002"/>
        </w:numPr>
      </w:pPr>
      <w:r>
        <w:t xml:space="preserve">Global outreach efforts by the EU and Member States to garner international support for Ukraine’s Peace Formula and a future Global Peace Summit.</w:t>
      </w:r>
    </w:p>
    <w:p>
      <w:pPr>
        <w:pStyle w:val="Compact"/>
        <w:numPr>
          <w:ilvl w:val="0"/>
          <w:numId w:val="1002"/>
        </w:numPr>
      </w:pPr>
      <w:r>
        <w:t xml:space="preserve">Support to the Republic of Moldova and Georgia to strengthen resilience, security, and stability, including Member States’ bilateral commitments to support the European Union Partnership Mission (EUPM) in Moldova.</w:t>
      </w:r>
    </w:p>
    <w:p>
      <w:pPr>
        <w:pStyle w:val="Compact"/>
        <w:numPr>
          <w:ilvl w:val="0"/>
          <w:numId w:val="1002"/>
        </w:numPr>
      </w:pPr>
      <w:r>
        <w:t xml:space="preserve">Commitment to increasing EU defence readiness and capabilities, including:</w:t>
      </w:r>
    </w:p>
    <w:p>
      <w:pPr>
        <w:pStyle w:val="Compact"/>
        <w:numPr>
          <w:ilvl w:val="0"/>
          <w:numId w:val="1002"/>
        </w:numPr>
      </w:pPr>
      <w:r>
        <w:t xml:space="preserve">Substantially increasing defence expenditure and investing better and faster together.</w:t>
      </w:r>
    </w:p>
    <w:p>
      <w:pPr>
        <w:pStyle w:val="Compact"/>
        <w:numPr>
          <w:ilvl w:val="0"/>
          <w:numId w:val="1002"/>
        </w:numPr>
      </w:pPr>
      <w:r>
        <w:t xml:space="preserve">Improving European defence industry’s access to public and private finance, with the European Investment Bank adapting its lending policies.</w:t>
      </w:r>
    </w:p>
    <w:p>
      <w:pPr>
        <w:pStyle w:val="Compact"/>
        <w:numPr>
          <w:ilvl w:val="0"/>
          <w:numId w:val="1002"/>
        </w:numPr>
      </w:pPr>
      <w:r>
        <w:t xml:space="preserve">Incentivising development and joint procurement to address critical EU capability gaps.</w:t>
      </w:r>
    </w:p>
    <w:p>
      <w:pPr>
        <w:pStyle w:val="Compact"/>
        <w:numPr>
          <w:ilvl w:val="0"/>
          <w:numId w:val="1002"/>
        </w:numPr>
      </w:pPr>
      <w:r>
        <w:t xml:space="preserve">Enhancing cooperative/joint defence investment from R&amp;D to joint procurement.</w:t>
      </w:r>
    </w:p>
    <w:p>
      <w:pPr>
        <w:pStyle w:val="Compact"/>
        <w:numPr>
          <w:ilvl w:val="0"/>
          <w:numId w:val="1002"/>
        </w:numPr>
      </w:pPr>
      <w:r>
        <w:t xml:space="preserve">Increasing resilience, flexibility, and capacity of the European defence industry.</w:t>
      </w:r>
    </w:p>
    <w:p>
      <w:pPr>
        <w:pStyle w:val="Compact"/>
        <w:numPr>
          <w:ilvl w:val="0"/>
          <w:numId w:val="1002"/>
        </w:numPr>
      </w:pPr>
      <w:r>
        <w:t xml:space="preserve">Facilitating access to defence supply chains for SMEs and mid-cap companies and reducing red tape.</w:t>
      </w:r>
    </w:p>
    <w:p>
      <w:pPr>
        <w:pStyle w:val="Compact"/>
        <w:numPr>
          <w:ilvl w:val="0"/>
          <w:numId w:val="1002"/>
        </w:numPr>
      </w:pPr>
      <w:r>
        <w:t xml:space="preserve">Enhancing rapid response and timely identification of supply chain bottlenecks.</w:t>
      </w:r>
    </w:p>
    <w:p>
      <w:pPr>
        <w:pStyle w:val="Compact"/>
        <w:numPr>
          <w:ilvl w:val="0"/>
          <w:numId w:val="1002"/>
        </w:numPr>
      </w:pPr>
      <w:r>
        <w:t xml:space="preserve">Investing in skilled labour to address labour and skills shortages in the defence industry.</w:t>
      </w:r>
    </w:p>
    <w:p>
      <w:pPr>
        <w:pStyle w:val="Compact"/>
        <w:numPr>
          <w:ilvl w:val="0"/>
          <w:numId w:val="1002"/>
        </w:numPr>
      </w:pPr>
      <w:r>
        <w:t xml:space="preserve">Advancement of the Joint Communication on a European Defence Industrial Strategy (EDIS) and the European Defence Industry Programme (EDIP).</w:t>
      </w:r>
    </w:p>
    <w:p>
      <w:pPr>
        <w:pStyle w:val="Compact"/>
        <w:numPr>
          <w:ilvl w:val="0"/>
          <w:numId w:val="1002"/>
        </w:numPr>
      </w:pPr>
      <w:r>
        <w:t xml:space="preserve">Acceleration of the implementation of the Strategic Compass, including EU Rapid Deployment Capacity, military mobility, live exercises, space security, countering cyber and hybrid threats, and addressing foreign information manipulation and interference.</w:t>
      </w:r>
    </w:p>
    <w:p>
      <w:pPr>
        <w:pStyle w:val="Compact"/>
        <w:numPr>
          <w:ilvl w:val="0"/>
          <w:numId w:val="1002"/>
        </w:numPr>
      </w:pPr>
      <w:r>
        <w:t xml:space="preserve">Launch of EU Operation ASPIDES to safeguard freedom of navigation and security of seafarers in the Red Sea, Gulf of Aden, and broader region.</w:t>
      </w:r>
    </w:p>
    <w:p>
      <w:pPr>
        <w:pStyle w:val="Compact"/>
        <w:numPr>
          <w:ilvl w:val="0"/>
          <w:numId w:val="1002"/>
        </w:numPr>
      </w:pPr>
      <w:r>
        <w:t xml:space="preserve">Opening of accession negotiations with Bosnia and Herzegovina, with preparation of the negotiating framework underway.</w:t>
      </w:r>
    </w:p>
    <w:p>
      <w:pPr>
        <w:pStyle w:val="Compact"/>
        <w:numPr>
          <w:ilvl w:val="0"/>
          <w:numId w:val="1002"/>
        </w:numPr>
      </w:pPr>
      <w:r>
        <w:t xml:space="preserve">Adoption and advancement of draft negotiating frameworks for Ukraine and the Republic of Moldova.</w:t>
      </w:r>
    </w:p>
    <w:p>
      <w:pPr>
        <w:pStyle w:val="Compact"/>
        <w:numPr>
          <w:ilvl w:val="0"/>
          <w:numId w:val="1002"/>
        </w:numPr>
      </w:pPr>
      <w:r>
        <w:t xml:space="preserve">Support for the European Union Police Mission for the Palestinian Territories (EUPOL COPPS) and the European Union Border Assistance Mission to the Rafah Crossing Point (EUBAM Rafah) in support of a future Palestinian state.</w:t>
      </w:r>
    </w:p>
    <w:p>
      <w:pPr>
        <w:pStyle w:val="Compact"/>
        <w:numPr>
          <w:ilvl w:val="0"/>
          <w:numId w:val="1002"/>
        </w:numPr>
      </w:pPr>
      <w:r>
        <w:t xml:space="preserve">Launch of the Amalthea Initiative opening a maritime route for emergency assistance from Cyprus to Gaza.</w:t>
      </w:r>
    </w:p>
    <w:p>
      <w:pPr>
        <w:pStyle w:val="Compact"/>
        <w:numPr>
          <w:ilvl w:val="0"/>
          <w:numId w:val="1002"/>
        </w:numPr>
      </w:pPr>
      <w:r>
        <w:t xml:space="preserve">Release of EUR 20 million in humanitarian support to Haiti by the European Union.</w:t>
      </w:r>
    </w:p>
    <w:p>
      <w:pPr>
        <w:pStyle w:val="Compact"/>
        <w:numPr>
          <w:ilvl w:val="0"/>
          <w:numId w:val="1002"/>
        </w:numPr>
      </w:pPr>
      <w:r>
        <w:t xml:space="preserve">Strengthening tools to counter human trafficking and smuggling, including launching a Global Alliance to respond to this challenge.</w:t>
      </w:r>
    </w:p>
    <w:p>
      <w:pPr>
        <w:pStyle w:val="Compact"/>
        <w:numPr>
          <w:ilvl w:val="0"/>
          <w:numId w:val="1002"/>
        </w:numPr>
      </w:pPr>
      <w:r>
        <w:t xml:space="preserve">Ongoing work on short- and medium-term measures to support farmers, including reducing administrative burden, strengthening farmers’ position in the food supply chain, designing additional financial support (e.g., extending temporary State aid framework), ensuring fair competition, and addressing issues related to Autonomous Trade Measures for Ukraine.</w:t>
      </w:r>
    </w:p>
    <w:p>
      <w:pPr>
        <w:pStyle w:val="Compact"/>
        <w:numPr>
          <w:ilvl w:val="0"/>
          <w:numId w:val="1002"/>
        </w:numPr>
      </w:pPr>
      <w:r>
        <w:t xml:space="preserve">Proposals to strengthen preparedness and crisis response at EU level in an all-hazards and whole-of-society approach, with a view to a future preparedness strategy.</w:t>
      </w:r>
    </w:p>
    <w:bookmarkEnd w:id="24"/>
    <w:bookmarkStart w:id="25" w:name="commitments"/>
    <w:p>
      <w:pPr>
        <w:pStyle w:val="Heading2"/>
      </w:pPr>
      <w:r>
        <w:t xml:space="preserve">Commitments</w:t>
      </w:r>
    </w:p>
    <w:p>
      <w:pPr>
        <w:pStyle w:val="Compact"/>
        <w:numPr>
          <w:ilvl w:val="0"/>
          <w:numId w:val="1003"/>
        </w:numPr>
      </w:pPr>
      <w:r>
        <w:t xml:space="preserve">The EU commits to providing Ukraine with one million rounds of artillery ammunition (no specific deadline given, but urgency implied).</w:t>
      </w:r>
    </w:p>
    <w:p>
      <w:pPr>
        <w:pStyle w:val="Compact"/>
        <w:numPr>
          <w:ilvl w:val="0"/>
          <w:numId w:val="1003"/>
        </w:numPr>
      </w:pPr>
      <w:r>
        <w:t xml:space="preserve">The European Council calls on the Council to work on the 8th support package for Ukraine under the European Peace Facility (no specific deadline given).</w:t>
      </w:r>
    </w:p>
    <w:p>
      <w:pPr>
        <w:pStyle w:val="Compact"/>
        <w:numPr>
          <w:ilvl w:val="0"/>
          <w:numId w:val="1003"/>
        </w:numPr>
      </w:pPr>
      <w:r>
        <w:t xml:space="preserve">The European Council invites the Council and the Commission to explore all options for mobilising funding for the European defence industry and report back by June 2024.</w:t>
      </w:r>
    </w:p>
    <w:p>
      <w:pPr>
        <w:pStyle w:val="Compact"/>
        <w:numPr>
          <w:ilvl w:val="0"/>
          <w:numId w:val="1003"/>
        </w:numPr>
      </w:pPr>
      <w:r>
        <w:t xml:space="preserve">The European Council will adopt conclusions on a roadmap for future work on internal reforms by summer 2024.</w:t>
      </w:r>
    </w:p>
    <w:p>
      <w:pPr>
        <w:pStyle w:val="Compact"/>
        <w:numPr>
          <w:ilvl w:val="0"/>
          <w:numId w:val="1003"/>
        </w:numPr>
      </w:pPr>
      <w:r>
        <w:t xml:space="preserve">The European Council decides to open accession negotiations with Bosnia and Herzegovina once all relevant steps set out in the Commission’s recommendation of 12 October 2022 are taken (no specific deadline given).</w:t>
      </w:r>
    </w:p>
    <w:p>
      <w:pPr>
        <w:pStyle w:val="Compact"/>
        <w:numPr>
          <w:ilvl w:val="0"/>
          <w:numId w:val="1003"/>
        </w:numPr>
      </w:pPr>
      <w:r>
        <w:t xml:space="preserve">The European Council invites the Council to swiftly adopt the draft negotiating frameworks for Ukraine and the Republic of Moldova and to take work forward without delay (no specific deadline given).</w:t>
      </w:r>
    </w:p>
    <w:p>
      <w:pPr>
        <w:pStyle w:val="Compact"/>
        <w:numPr>
          <w:ilvl w:val="0"/>
          <w:numId w:val="1003"/>
        </w:numPr>
      </w:pPr>
      <w:r>
        <w:t xml:space="preserve">The European Council welcomes the recent release by the European Union of EUR 20 million in humanitarian support to Haiti.</w:t>
      </w:r>
    </w:p>
    <w:p>
      <w:pPr>
        <w:pStyle w:val="Compact"/>
        <w:numPr>
          <w:ilvl w:val="0"/>
          <w:numId w:val="1003"/>
        </w:numPr>
      </w:pPr>
      <w:r>
        <w:t xml:space="preserve">The European Council calls on the Commission and the Council to take work forward without delay on short- and medium-term measures to support farmers, including extending the temporary framework on State aid, and report back to the next European Council (next European Council meeting date not specified).</w:t>
      </w:r>
    </w:p>
    <w:p>
      <w:pPr>
        <w:pStyle w:val="Compact"/>
        <w:numPr>
          <w:ilvl w:val="0"/>
          <w:numId w:val="1003"/>
        </w:numPr>
      </w:pPr>
      <w:r>
        <w:t xml:space="preserve">The European Council invites the Commission together with the High Representative to propose actions to strengthen preparedness and crisis response at EU level with a view to a future preparedness strategy (no specific deadline given).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2025-06-19T17:41:56Z</dcterms:created>
  <dcterms:modified xsi:type="dcterms:W3CDTF">2025-06-19T17:41:56Z</dcterms:modified>
</cp:coreProperties>
</file>

<file path=docProps/custom.xml><?xml version="1.0" encoding="utf-8"?>
<Properties xmlns="http://schemas.openxmlformats.org/officeDocument/2006/custom-properties" xmlns:vt="http://schemas.openxmlformats.org/officeDocument/2006/docPropsVTypes"/>
</file>