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d509f7baf3365ad08e776874a9d539fef61b85"/>
    <w:p>
      <w:pPr>
        <w:pStyle w:val="Heading1"/>
      </w:pPr>
      <w:r>
        <w:t xml:space="preserve">Addis Ababa Messages from the 17th Internet Governance Forum (2022) on Global Digital Compact Themes</w:t>
      </w:r>
    </w:p>
    <w:p>
      <w:pPr>
        <w:pStyle w:val="FirstParagraph"/>
      </w:pPr>
      <w:r>
        <w:rPr>
          <w:b/>
          <w:bCs/>
        </w:rPr>
        <w:t xml:space="preserve">Date</w:t>
      </w:r>
      <w:r>
        <w:t xml:space="preserve">: 2022-11-28</w:t>
      </w:r>
    </w:p>
    <w:p>
      <w:pPr>
        <w:pStyle w:val="BodyText"/>
      </w:pPr>
      <w:r>
        <w:rPr>
          <w:b/>
          <w:bCs/>
        </w:rPr>
        <w:t xml:space="preserve">Location</w:t>
      </w:r>
      <w:r>
        <w:t xml:space="preserve">: Addis Ababa, Ethiopia</w:t>
      </w:r>
    </w:p>
    <w:bookmarkStart w:id="20" w:name="executive-summary"/>
    <w:p>
      <w:pPr>
        <w:pStyle w:val="Heading2"/>
      </w:pPr>
      <w:r>
        <w:t xml:space="preserve">Executive Summary</w:t>
      </w:r>
    </w:p>
    <w:p>
      <w:pPr>
        <w:pStyle w:val="FirstParagraph"/>
      </w:pPr>
      <w:r>
        <w:t xml:space="preserve">The 17th Internet Governance Forum (IGF) in Addis Ababa (2022) focused on five key themes aligned with the UN’s proposed Global Digital Compact (GDC): connecting all people while safeguarding human rights; avoiding Internet fragmentation; governing data and protecting privacy; enabling safety, security, and accountability; and addressing advanced technologies including AI. Discussions emphasized closing digital divides, especially for marginalized groups and women, ensuring meaningful access beyond connectivity, and embedding human rights in digital development. The forum highlighted the risks of Internet fragmentation due to technical, commercial, and policy factors, advocating for multistakeholder governance and international cooperation. Data governance calls for coherent global frameworks balancing privacy, justice, and cross-border flows. Cybersecurity and cybercrime require coordinated, rights-respecting policies, with attention to misinformation and digital literacy. Advanced technologies like AI must be human-centered, transparent, and inclusive, with global standards developed through multistakeholder engagement to uphold rights and foster trust.</w:t>
      </w:r>
    </w:p>
    <w:bookmarkEnd w:id="20"/>
    <w:bookmarkStart w:id="21" w:name="characteristics"/>
    <w:p>
      <w:pPr>
        <w:pStyle w:val="Heading2"/>
      </w:pPr>
      <w:r>
        <w:t xml:space="preserve">Characteristics</w:t>
      </w:r>
    </w:p>
    <w:p>
      <w:pPr>
        <w:pStyle w:val="Compact"/>
        <w:numPr>
          <w:ilvl w:val="0"/>
          <w:numId w:val="1001"/>
        </w:numPr>
      </w:pPr>
      <w:r>
        <w:t xml:space="preserve">The 17th Internet Governance Forum (IGF) focused on five key themes aligned with the UN’s proposed Global Digital Compact: connectivity and human rights, avoiding internet fragmentation, data governance and privacy, safety and security, and advanced technologies including AI.</w:t>
      </w:r>
    </w:p>
    <w:p>
      <w:pPr>
        <w:pStyle w:val="Compact"/>
        <w:numPr>
          <w:ilvl w:val="0"/>
          <w:numId w:val="1001"/>
        </w:numPr>
      </w:pPr>
      <w:r>
        <w:t xml:space="preserve">Emphasis on closing digital divides, especially for least developed countries, rural areas, and marginalized groups, with a focus on meaningful access beyond connectivity, including affordability, literacy, and local content.</w:t>
      </w:r>
    </w:p>
    <w:p>
      <w:pPr>
        <w:pStyle w:val="Compact"/>
        <w:numPr>
          <w:ilvl w:val="0"/>
          <w:numId w:val="1001"/>
        </w:numPr>
      </w:pPr>
      <w:r>
        <w:t xml:space="preserve">Strong advocacy for human rights online, including freedom of expression, privacy, and protection from harassment, with calls to avoid internet shutdowns and improve digital rights monitoring.</w:t>
      </w:r>
    </w:p>
    <w:p>
      <w:pPr>
        <w:pStyle w:val="Compact"/>
        <w:numPr>
          <w:ilvl w:val="0"/>
          <w:numId w:val="1001"/>
        </w:numPr>
      </w:pPr>
      <w:r>
        <w:t xml:space="preserve">Calls for multistakeholder governance to maintain an open, interoperable global internet and to address risks of fragmentation from technical, commercial, and policy factors.</w:t>
      </w:r>
    </w:p>
    <w:p>
      <w:pPr>
        <w:pStyle w:val="Compact"/>
        <w:numPr>
          <w:ilvl w:val="0"/>
          <w:numId w:val="1001"/>
        </w:numPr>
      </w:pPr>
      <w:r>
        <w:t xml:space="preserve">Data governance highlighted as critical, with emphasis on privacy as a human right, the need for coherent global frameworks, data justice, and protection in AI and cross-border data flows.</w:t>
      </w:r>
    </w:p>
    <w:p>
      <w:pPr>
        <w:pStyle w:val="Compact"/>
        <w:numPr>
          <w:ilvl w:val="0"/>
          <w:numId w:val="1001"/>
        </w:numPr>
      </w:pPr>
      <w:r>
        <w:t xml:space="preserve">Safety and security discussions stressed cybersecurity, cybercrime, misinformation, and accountability, alongside the environmental impact of digital technologies and the need for inclusive, rights-respecting AI governance.</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United Nations; United Nations Officials; Governments</w:t>
            </w:r>
          </w:p>
        </w:tc>
      </w:tr>
      <w:tr>
        <w:tc>
          <w:tcPr/>
          <w:p>
            <w:pPr>
              <w:pStyle w:val="Compact"/>
            </w:pPr>
            <w:r>
              <w:t xml:space="preserve">Civil Society Actors</w:t>
            </w:r>
          </w:p>
        </w:tc>
        <w:tc>
          <w:tcPr/>
          <w:p>
            <w:pPr>
              <w:pStyle w:val="Compact"/>
            </w:pPr>
            <w:r>
              <w:t xml:space="preserve">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w:t>
            </w:r>
          </w:p>
        </w:tc>
      </w:tr>
      <w:tr>
        <w:tc>
          <w:tcPr/>
          <w:p>
            <w:pPr>
              <w:pStyle w:val="Compact"/>
            </w:pPr>
            <w:r>
              <w:t xml:space="preserve">Data &amp; Governance</w:t>
            </w:r>
          </w:p>
        </w:tc>
        <w:tc>
          <w:tcPr/>
          <w:p>
            <w:pPr>
              <w:pStyle w:val="Compact"/>
            </w:pPr>
            <w:r>
              <w:t xml:space="preserve">Internet Governance; Digital Rights; Digital Governance; Data Governance; Data Privacy; Data Protection; Digital Ethics; Cybersecurity</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Digital Transformation &amp; Strategy</w:t>
            </w:r>
          </w:p>
        </w:tc>
        <w:tc>
          <w:tcPr/>
          <w:p>
            <w:pPr>
              <w:pStyle w:val="Compact"/>
            </w:pPr>
            <w:r>
              <w:t xml:space="preserve">Digital Infrastructure</w:t>
            </w:r>
          </w:p>
        </w:tc>
      </w:tr>
      <w:tr>
        <w:tc>
          <w:tcPr/>
          <w:p>
            <w:pPr>
              <w:pStyle w:val="Compact"/>
            </w:pPr>
            <w:r>
              <w:t xml:space="preserve">Technology &amp; Innovation</w:t>
            </w:r>
          </w:p>
        </w:tc>
        <w:tc>
          <w:tcPr/>
          <w:p>
            <w:pPr>
              <w:pStyle w:val="Compact"/>
            </w:pPr>
            <w:r>
              <w:t xml:space="preserve">Artificial Intelligence; AI Ethics</w:t>
            </w:r>
          </w:p>
        </w:tc>
      </w:tr>
    </w:tbl>
    <w:bookmarkEnd w:id="23"/>
    <w:bookmarkStart w:id="24" w:name="practical-applications"/>
    <w:p>
      <w:pPr>
        <w:pStyle w:val="Heading2"/>
      </w:pPr>
      <w:r>
        <w:t xml:space="preserve">Practical Applications</w:t>
      </w:r>
    </w:p>
    <w:p>
      <w:pPr>
        <w:pStyle w:val="Compact"/>
        <w:numPr>
          <w:ilvl w:val="0"/>
          <w:numId w:val="1002"/>
        </w:numPr>
      </w:pPr>
      <w:r>
        <w:t xml:space="preserve">IGF Dynamic Coalitions are actively addressing specific challenges related to the thematic areas of the Global Digital Compact and intend to contribute to its preparatory and implementation phases.</w:t>
      </w:r>
    </w:p>
    <w:p>
      <w:pPr>
        <w:pStyle w:val="Compact"/>
        <w:numPr>
          <w:ilvl w:val="0"/>
          <w:numId w:val="1002"/>
        </w:numPr>
      </w:pPr>
      <w:r>
        <w:t xml:space="preserve">Governments and multistakeholder partners support the establishment and work of effective regulatory agencies and frameworks to improve connectivity, including innovative approaches such as community networks, appropriate spectrum allocation, and low earth orbit satellite access.</w:t>
      </w:r>
    </w:p>
    <w:p>
      <w:pPr>
        <w:pStyle w:val="Compact"/>
        <w:numPr>
          <w:ilvl w:val="0"/>
          <w:numId w:val="1002"/>
        </w:numPr>
      </w:pPr>
      <w:r>
        <w:t xml:space="preserve">Community-led helplines and resources in local languages are being supported to help women resist and redress online gender-based violence.</w:t>
      </w:r>
    </w:p>
    <w:p>
      <w:pPr>
        <w:pStyle w:val="Compact"/>
        <w:numPr>
          <w:ilvl w:val="0"/>
          <w:numId w:val="1002"/>
        </w:numPr>
      </w:pPr>
      <w:r>
        <w:t xml:space="preserve">Standards development organizations are encouraged to invite participation by experts in online human rights from all stakeholder communities.</w:t>
      </w:r>
    </w:p>
    <w:p>
      <w:pPr>
        <w:pStyle w:val="Compact"/>
        <w:numPr>
          <w:ilvl w:val="0"/>
          <w:numId w:val="1002"/>
        </w:numPr>
      </w:pPr>
      <w:r>
        <w:t xml:space="preserve">Governments, private sector, and technical community are urged to avoid cybercrime laws and standards that negatively affect cybersecurity defenders and to facilitate multistakeholder engagement in policy development.</w:t>
      </w:r>
    </w:p>
    <w:p>
      <w:pPr>
        <w:pStyle w:val="Compact"/>
        <w:numPr>
          <w:ilvl w:val="0"/>
          <w:numId w:val="1002"/>
        </w:numPr>
      </w:pPr>
      <w:r>
        <w:t xml:space="preserve">International initiatives have been established to support cybersecurity capacity-building integrated into broader digital development efforts.</w:t>
      </w:r>
    </w:p>
    <w:p>
      <w:pPr>
        <w:pStyle w:val="Compact"/>
        <w:numPr>
          <w:ilvl w:val="0"/>
          <w:numId w:val="1002"/>
        </w:numPr>
      </w:pPr>
      <w:r>
        <w:t xml:space="preserve">The United Nations is encouraged to promote global adoption of key cybersecurity standards through the Global Digital Compact, advocacy, capacity building, and initiatives to test and monitor deployment.</w:t>
      </w:r>
    </w:p>
    <w:p>
      <w:pPr>
        <w:pStyle w:val="Compact"/>
        <w:numPr>
          <w:ilvl w:val="0"/>
          <w:numId w:val="1002"/>
        </w:numPr>
      </w:pPr>
      <w:r>
        <w:t xml:space="preserve">Educational curricula are being encouraged to include digital literacy skills to empower citizens to identify disinformation and increase online safety awareness, with initiatives involving parents, teachers, and guardians.</w:t>
      </w:r>
    </w:p>
    <w:p>
      <w:pPr>
        <w:pStyle w:val="Compact"/>
        <w:numPr>
          <w:ilvl w:val="0"/>
          <w:numId w:val="1002"/>
        </w:numPr>
      </w:pPr>
      <w:r>
        <w:t xml:space="preserve">Civil society participation in cybercrime and cybersecurity discussions is supported through education and resource gathering.</w:t>
      </w:r>
    </w:p>
    <w:p>
      <w:pPr>
        <w:pStyle w:val="Compact"/>
        <w:numPr>
          <w:ilvl w:val="0"/>
          <w:numId w:val="1002"/>
        </w:numPr>
      </w:pPr>
      <w:r>
        <w:t xml:space="preserve">Independent oversight bodies with mandates to manage data registration, provide guidance, investigate, and resolve complaints from data subjects are recommended.</w:t>
      </w:r>
    </w:p>
    <w:p>
      <w:pPr>
        <w:pStyle w:val="Compact"/>
        <w:numPr>
          <w:ilvl w:val="0"/>
          <w:numId w:val="1002"/>
        </w:numPr>
      </w:pPr>
      <w:r>
        <w:t xml:space="preserve">Multistakeholder input is promoted in the development of data governance policies to ensure understanding of implementation challenges.</w:t>
      </w:r>
    </w:p>
    <w:p>
      <w:pPr>
        <w:pStyle w:val="Compact"/>
        <w:numPr>
          <w:ilvl w:val="0"/>
          <w:numId w:val="1002"/>
        </w:numPr>
      </w:pPr>
      <w:r>
        <w:t xml:space="preserve">Regional and global cooperation efforts are encouraged to enhance institutional capacities in developing economies for data governance.</w:t>
      </w:r>
    </w:p>
    <w:p>
      <w:pPr>
        <w:pStyle w:val="Compact"/>
        <w:numPr>
          <w:ilvl w:val="0"/>
          <w:numId w:val="1002"/>
        </w:numPr>
      </w:pPr>
      <w:r>
        <w:t xml:space="preserve">Stakeholders from technical and non-technical communities are collaborating to develop flexible principles, guidelines, and standards to foster trust in AI systems.</w:t>
      </w:r>
    </w:p>
    <w:p>
      <w:pPr>
        <w:pStyle w:val="Compact"/>
        <w:numPr>
          <w:ilvl w:val="0"/>
          <w:numId w:val="1002"/>
        </w:numPr>
      </w:pPr>
      <w:r>
        <w:t xml:space="preserve">Efforts are underway to improve translation accuracy and relevance of platform community standards and guidelines to enable better user understanding across different languages.</w:t>
      </w:r>
    </w:p>
    <w:p>
      <w:pPr>
        <w:pStyle w:val="Compact"/>
        <w:numPr>
          <w:ilvl w:val="0"/>
          <w:numId w:val="1002"/>
        </w:numPr>
      </w:pPr>
      <w:r>
        <w:t xml:space="preserve">Support for professional journalism and media is recognized as part of efforts to address disinformation.</w:t>
      </w:r>
    </w:p>
    <w:p>
      <w:pPr>
        <w:pStyle w:val="Compact"/>
        <w:numPr>
          <w:ilvl w:val="0"/>
          <w:numId w:val="1002"/>
        </w:numPr>
      </w:pPr>
      <w:r>
        <w:t xml:space="preserve">The IGF Policy Network on Internet Fragmentation is an active multistakeholder initiative addressing risks of Internet fragmentation.</w:t>
      </w:r>
    </w:p>
    <w:p>
      <w:pPr>
        <w:pStyle w:val="Compact"/>
        <w:numPr>
          <w:ilvl w:val="0"/>
          <w:numId w:val="1002"/>
        </w:numPr>
      </w:pPr>
      <w:r>
        <w:t xml:space="preserve">Governments, private sector, and technical community are encouraged to coordinate and cooperate regionally and internationally to maintain Internet openness and interoperability.</w:t>
      </w:r>
    </w:p>
    <w:p>
      <w:pPr>
        <w:pStyle w:val="Compact"/>
        <w:numPr>
          <w:ilvl w:val="0"/>
          <w:numId w:val="1002"/>
        </w:numPr>
      </w:pPr>
      <w:r>
        <w:t xml:space="preserve">Capacity-building policies for AI literacy, skills development, and language resources for minority languages are being promoted to support a global approach to advanced technologies.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2025-06-19T18:03:38Z</dcterms:created>
  <dcterms:modified xsi:type="dcterms:W3CDTF">2025-06-19T18:03:38Z</dcterms:modified>
</cp:coreProperties>
</file>

<file path=docProps/custom.xml><?xml version="1.0" encoding="utf-8"?>
<Properties xmlns="http://schemas.openxmlformats.org/officeDocument/2006/custom-properties" xmlns:vt="http://schemas.openxmlformats.org/officeDocument/2006/docPropsVTypes"/>
</file>