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e91b112df2fd6d476c0832ea7825c7f1234816"/>
    <w:p>
      <w:pPr>
        <w:pStyle w:val="Heading1"/>
      </w:pPr>
      <w:r>
        <w:t xml:space="preserve">EuroLat Resolution on Digital Platforms in the Modern Economy</w:t>
      </w:r>
    </w:p>
    <w:p>
      <w:pPr>
        <w:pStyle w:val="FirstParagraph"/>
      </w:pPr>
      <w:r>
        <w:rPr>
          <w:b/>
          <w:bCs/>
        </w:rPr>
        <w:t xml:space="preserve">Date</w:t>
      </w:r>
      <w:r>
        <w:t xml:space="preserve">: 2023-07-27</w:t>
      </w:r>
    </w:p>
    <w:p>
      <w:pPr>
        <w:pStyle w:val="BodyText"/>
      </w:pPr>
      <w:r>
        <w:rPr>
          <w:b/>
          <w:bCs/>
        </w:rPr>
        <w:t xml:space="preserve">Location</w:t>
      </w:r>
      <w:r>
        <w:t xml:space="preserve">: Madrid, España</w:t>
      </w:r>
    </w:p>
    <w:bookmarkStart w:id="20" w:name="executive-summary"/>
    <w:p>
      <w:pPr>
        <w:pStyle w:val="Heading2"/>
      </w:pPr>
      <w:r>
        <w:t xml:space="preserve">Executive Summary</w:t>
      </w:r>
    </w:p>
    <w:p>
      <w:pPr>
        <w:pStyle w:val="FirstParagraph"/>
      </w:pPr>
      <w:r>
        <w:t xml:space="preserve">The EuroLat Resolution on Digital Platforms in the Modern Economy, adopted on July 27, 2023, emphasizes the need for a robust digital economy in both Europe and Latin America. It highlights the rapid growth of the digital economy, the importance of equitable access to digital services, and the necessity for regulatory frameworks that protect workers’ rights and consumer privacy. The resolution calls for the establishment of a secure digital infrastructure, the creation of a common digital market, and the promotion of digital literacy to bridge the digital divide. It also stresses the importance of international cooperation to address challenges posed by digitalization, including the need for fair taxation and measures against online misinformation and cybercrime. Overall, the resolution aims to foster a competitive and inclusive digital landscape that benefits all stakeholders.</w:t>
      </w:r>
    </w:p>
    <w:bookmarkEnd w:id="20"/>
    <w:bookmarkStart w:id="21" w:name="characteristics"/>
    <w:p>
      <w:pPr>
        <w:pStyle w:val="Heading2"/>
      </w:pPr>
      <w:r>
        <w:t xml:space="preserve">Characteristics</w:t>
      </w:r>
    </w:p>
    <w:p>
      <w:pPr>
        <w:pStyle w:val="Compact"/>
        <w:numPr>
          <w:ilvl w:val="0"/>
          <w:numId w:val="1001"/>
        </w:numPr>
      </w:pPr>
      <w:r>
        <w:t xml:space="preserve">The resolution addresses the growth and impact of digital platforms in the modern economy, emphasizing their role in economic development and job creation in both Europe and Latin America.</w:t>
      </w:r>
    </w:p>
    <w:p>
      <w:pPr>
        <w:pStyle w:val="Compact"/>
        <w:numPr>
          <w:ilvl w:val="0"/>
          <w:numId w:val="1001"/>
        </w:numPr>
      </w:pPr>
      <w:r>
        <w:t xml:space="preserve">It highlights the digital divide, noting that significant portions of the population in Latin America lack access to digital services, which hinders economic participation.</w:t>
      </w:r>
    </w:p>
    <w:p>
      <w:pPr>
        <w:pStyle w:val="Compact"/>
        <w:numPr>
          <w:ilvl w:val="0"/>
          <w:numId w:val="1001"/>
        </w:numPr>
      </w:pPr>
      <w:r>
        <w:t xml:space="preserve">The document calls for the establishment of a secure digital infrastructure and a unified digital market to enhance connectivity and economic opportunities.</w:t>
      </w:r>
    </w:p>
    <w:p>
      <w:pPr>
        <w:pStyle w:val="Compact"/>
        <w:numPr>
          <w:ilvl w:val="0"/>
          <w:numId w:val="1001"/>
        </w:numPr>
      </w:pPr>
      <w:r>
        <w:t xml:space="preserve">It stresses the importance of fair labor conditions and consumer protection in the digital economy, advocating for rights and protections for platform workers.</w:t>
      </w:r>
    </w:p>
    <w:p>
      <w:pPr>
        <w:pStyle w:val="Compact"/>
        <w:numPr>
          <w:ilvl w:val="0"/>
          <w:numId w:val="1001"/>
        </w:numPr>
      </w:pPr>
      <w:r>
        <w:t xml:space="preserve">The resolution encourages international cooperation to address challenges posed by digitalization, including regulatory frameworks and combating misinformation and cybercrime.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Asamblea Parlamentaria Euro-Latinoamericana; Carlos Abraham Jiménez; Nicola Danti; Parlamento Europeo; Unión Europea; Parlamento Andino; Comunidad Andina; Organización de Estados Americanos; Naciones Unidas; Organización Mundial del Comercio; G20</w:t>
            </w:r>
          </w:p>
        </w:tc>
      </w:tr>
      <w:tr>
        <w:tc>
          <w:tcPr/>
          <w:p>
            <w:pPr>
              <w:pStyle w:val="Compact"/>
            </w:pPr>
            <w:r>
              <w:t xml:space="preserve">Economic Actors</w:t>
            </w:r>
          </w:p>
        </w:tc>
        <w:tc>
          <w:tcPr/>
          <w:p>
            <w:pPr>
              <w:pStyle w:val="Compact"/>
            </w:pPr>
            <w:r>
              <w:t xml:space="preserve">CAF (Banco de Desarrollo de América Latina); Organización para la Cooperación y el Desarrollo Económicos; Banco Interamericano de Desarrollo; Banco Mundial</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Platforms; Digital Economy; Digital Infrastructure</w:t>
            </w:r>
          </w:p>
        </w:tc>
      </w:tr>
      <w:tr>
        <w:tc>
          <w:tcPr/>
          <w:p>
            <w:pPr>
              <w:pStyle w:val="Compact"/>
            </w:pPr>
            <w:r>
              <w:t xml:space="preserve">Data &amp; Governance</w:t>
            </w:r>
          </w:p>
        </w:tc>
        <w:tc>
          <w:tcPr/>
          <w:p>
            <w:pPr>
              <w:pStyle w:val="Compact"/>
            </w:pPr>
            <w:r>
              <w:t xml:space="preserve">Data Protection; Digital Rights; Digital Governance</w:t>
            </w:r>
          </w:p>
        </w:tc>
      </w:tr>
      <w:tr>
        <w:tc>
          <w:tcPr/>
          <w:p>
            <w:pPr>
              <w:pStyle w:val="Compact"/>
            </w:pPr>
            <w:r>
              <w:t xml:space="preserve">Regional &amp; International Cooperation</w:t>
            </w:r>
          </w:p>
        </w:tc>
        <w:tc>
          <w:tcPr/>
          <w:p>
            <w:pPr>
              <w:pStyle w:val="Compact"/>
            </w:pPr>
            <w:r>
              <w:t xml:space="preserve">EU-LAC Digital Alliance; Global Digital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Launch of the</w:t>
      </w:r>
      <w:r>
        <w:t xml:space="preserve"> </w:t>
      </w:r>
      <w:r>
        <w:t xml:space="preserve">“Digital for Development”</w:t>
      </w:r>
      <w:r>
        <w:t xml:space="preserve"> </w:t>
      </w:r>
      <w:r>
        <w:t xml:space="preserve">(D4D) platform by the European Union in December 2021 to enhance global cooperation in digital markets in Latin America and the Caribbean.</w:t>
      </w:r>
    </w:p>
    <w:p>
      <w:pPr>
        <w:pStyle w:val="Compact"/>
        <w:numPr>
          <w:ilvl w:val="0"/>
          <w:numId w:val="1002"/>
        </w:numPr>
      </w:pPr>
      <w:r>
        <w:t xml:space="preserve">Recommendation for the establishment of a digital single market in Latin America and the Caribbean to facilitate the free movement of digital goods, services, and capital.</w:t>
      </w:r>
    </w:p>
    <w:p>
      <w:pPr>
        <w:pStyle w:val="Compact"/>
        <w:numPr>
          <w:ilvl w:val="0"/>
          <w:numId w:val="1002"/>
        </w:numPr>
      </w:pPr>
      <w:r>
        <w:t xml:space="preserve">Support for the ongoing multilateral negotiations at the World Trade Organization (WTO) regarding electronic commerce to enhance digital transactions and participation of small and medium enterprises (SMEs).</w:t>
      </w:r>
    </w:p>
    <w:p>
      <w:pPr>
        <w:pStyle w:val="Compact"/>
        <w:numPr>
          <w:ilvl w:val="0"/>
          <w:numId w:val="1002"/>
        </w:numPr>
      </w:pPr>
      <w:r>
        <w:t xml:space="preserve">Call for the development of digital literacy programs at all levels to ensure widespread access to digital tools and connectivity, particularly in rural and remote areas.</w:t>
      </w:r>
    </w:p>
    <w:p>
      <w:pPr>
        <w:pStyle w:val="Compact"/>
        <w:numPr>
          <w:ilvl w:val="0"/>
          <w:numId w:val="1002"/>
        </w:numPr>
      </w:pPr>
      <w:r>
        <w:t xml:space="preserve">Emphasis on the need to strengthen broadband infrastructure through national plans to maximize its potential for economic growth and innovation.</w:t>
      </w:r>
    </w:p>
    <w:p>
      <w:pPr>
        <w:pStyle w:val="Compact"/>
        <w:numPr>
          <w:ilvl w:val="0"/>
          <w:numId w:val="1002"/>
        </w:numPr>
      </w:pPr>
      <w:r>
        <w:t xml:space="preserve">Proposal for the adaptation of services and connectivity in areas lacking coverage, ensuring that digital transformation benefits all sectors, especially education, health, and finance.</w:t>
      </w:r>
    </w:p>
    <w:p>
      <w:pPr>
        <w:pStyle w:val="Compact"/>
        <w:numPr>
          <w:ilvl w:val="0"/>
          <w:numId w:val="1002"/>
        </w:numPr>
      </w:pPr>
      <w:r>
        <w:t xml:space="preserve">Advocacy for measures against illegal online content and misinformation through internationally agreed binding measures.</w:t>
      </w:r>
    </w:p>
    <w:bookmarkEnd w:id="24"/>
    <w:bookmarkStart w:id="25" w:name="commitments"/>
    <w:p>
      <w:pPr>
        <w:pStyle w:val="Heading2"/>
      </w:pPr>
      <w:r>
        <w:t xml:space="preserve">Commitments</w:t>
      </w:r>
    </w:p>
    <w:p>
      <w:pPr>
        <w:pStyle w:val="Compact"/>
        <w:numPr>
          <w:ilvl w:val="0"/>
          <w:numId w:val="1003"/>
        </w:numPr>
      </w:pPr>
      <w:r>
        <w:t xml:space="preserve">Pide que se elaboren programas de alfabetización digital a todos los niveles y en todos los sectores, para lo cual se deberán asignar recursos de los presupuestos públicos y de la cooperación internacional.</w:t>
      </w:r>
    </w:p>
    <w:p>
      <w:pPr>
        <w:pStyle w:val="Compact"/>
        <w:numPr>
          <w:ilvl w:val="0"/>
          <w:numId w:val="1003"/>
        </w:numPr>
      </w:pPr>
      <w:r>
        <w:t xml:space="preserve">Destaca la necesidad de reforzar la infraestructura de banda ancha mediante la aplicación de planes nacionales que persigan maximizar el potencial de la banda ancha para impulsar el crecimiento económico, la competitividad y la innovación.</w:t>
      </w:r>
    </w:p>
    <w:p>
      <w:pPr>
        <w:pStyle w:val="Compact"/>
        <w:numPr>
          <w:ilvl w:val="0"/>
          <w:numId w:val="1003"/>
        </w:numPr>
      </w:pPr>
      <w:r>
        <w:t xml:space="preserve">Señala que, en las zonas sin cobertura, es necesario desarrollar y adaptar servicios y conectividad, así como desarrollar plataformas de servicios digitales que compartan criterios comunes y características clave.</w:t>
      </w:r>
    </w:p>
    <w:p>
      <w:pPr>
        <w:pStyle w:val="Compact"/>
        <w:numPr>
          <w:ilvl w:val="0"/>
          <w:numId w:val="1003"/>
        </w:numPr>
      </w:pPr>
      <w:r>
        <w:t xml:space="preserve">Pide que se proteja a los consumidores garantizando que las plataformas digitales salvaguarden la privacidad y protejan los datos personales y la elección de los consumidores.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2025-06-03T15:42:55Z</dcterms:created>
  <dcterms:modified xsi:type="dcterms:W3CDTF">2025-06-03T15:42:55Z</dcterms:modified>
</cp:coreProperties>
</file>

<file path=docProps/custom.xml><?xml version="1.0" encoding="utf-8"?>
<Properties xmlns="http://schemas.openxmlformats.org/officeDocument/2006/custom-properties" xmlns:vt="http://schemas.openxmlformats.org/officeDocument/2006/docPropsVTypes"/>
</file>