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160bbf0ad7a00c1932f81a91052b15681ffed6"/>
    <w:p>
      <w:pPr>
        <w:pStyle w:val="Heading1"/>
      </w:pPr>
      <w:r>
        <w:t xml:space="preserve">Montevideo Declaration (eLAC 2024): Advancing Digital Transformation in Latin America and the Caribbean</w:t>
      </w:r>
    </w:p>
    <w:p>
      <w:pPr>
        <w:pStyle w:val="FirstParagraph"/>
      </w:pPr>
      <w:r>
        <w:rPr>
          <w:b/>
          <w:bCs/>
        </w:rPr>
        <w:t xml:space="preserve">Date</w:t>
      </w:r>
      <w:r>
        <w:t xml:space="preserve">: 2022-11-18</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The Montevideo Declaration, adopted during the eighth Ministerial Conference on the Information Society in Latin America and the Caribbean from November 16-18, 2022, emphasizes the importance of digital transformation for sustainable development in the region. It reaffirms commitments to the 2030 Agenda for Sustainable Development and the Digital Agenda for Latin America and the Caribbean (eLAC2024). Key resolutions include enhancing regional cooperation, promoting digital skills, ensuring affordable broadband access, and fostering innovation in strategic sectors. The declaration also highlights the need for a robust legal framework to protect rights in the digital space and calls for active participation from various stakeholders, including the private sector and civil society. The next Ministerial Conference is set to take place in Chile in 2024, continuing the momentum for digital advancement in the region.</w:t>
      </w:r>
    </w:p>
    <w:bookmarkEnd w:id="20"/>
    <w:bookmarkStart w:id="21" w:name="characteristics"/>
    <w:p>
      <w:pPr>
        <w:pStyle w:val="Heading2"/>
      </w:pPr>
      <w:r>
        <w:t xml:space="preserve">Characteristics</w:t>
      </w:r>
    </w:p>
    <w:p>
      <w:pPr>
        <w:pStyle w:val="Compact"/>
        <w:numPr>
          <w:ilvl w:val="0"/>
          <w:numId w:val="1001"/>
        </w:numPr>
      </w:pPr>
      <w:r>
        <w:t xml:space="preserve">The Montevideo Declaration emphasizes the importance of digital technologies for economic resilience and social inclusion in Latin America and the Caribbean.</w:t>
      </w:r>
    </w:p>
    <w:p>
      <w:pPr>
        <w:pStyle w:val="Compact"/>
        <w:numPr>
          <w:ilvl w:val="0"/>
          <w:numId w:val="1001"/>
        </w:numPr>
      </w:pPr>
      <w:r>
        <w:t xml:space="preserve">It highlights the need for effective broadband connectivity and the development of digital skills to drive economic and social transformation.</w:t>
      </w:r>
    </w:p>
    <w:p>
      <w:pPr>
        <w:pStyle w:val="Compact"/>
        <w:numPr>
          <w:ilvl w:val="0"/>
          <w:numId w:val="1001"/>
        </w:numPr>
      </w:pPr>
      <w:r>
        <w:t xml:space="preserve">The declaration calls for strengthened regional cooperation and partnerships in digital matters to promote solidarity, inclusion, and sustainability.</w:t>
      </w:r>
    </w:p>
    <w:p>
      <w:pPr>
        <w:pStyle w:val="Compact"/>
        <w:numPr>
          <w:ilvl w:val="0"/>
          <w:numId w:val="1001"/>
        </w:numPr>
      </w:pPr>
      <w:r>
        <w:t xml:space="preserve">It recognizes the significance of a robust legal and regulatory framework to ensure trust and protect rights in the digital environment.</w:t>
      </w:r>
    </w:p>
    <w:p>
      <w:pPr>
        <w:pStyle w:val="Compact"/>
        <w:numPr>
          <w:ilvl w:val="0"/>
          <w:numId w:val="1001"/>
        </w:numPr>
      </w:pPr>
      <w:r>
        <w:t xml:space="preserve">The document outlines a commitment to adopt the Digital Agenda for Latin America and the Caribbean (eLAC2024) and continue cooperation activities through 2024.</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Governments; Community of Latin American and Caribbean States; United Nations; United Nations Officials</w:t>
            </w:r>
          </w:p>
        </w:tc>
      </w:tr>
      <w:tr>
        <w:tc>
          <w:tcPr/>
          <w:p>
            <w:pPr>
              <w:pStyle w:val="Compact"/>
            </w:pPr>
            <w:r>
              <w:t xml:space="preserve">Research and Innovation Actors</w:t>
            </w:r>
          </w:p>
        </w:tc>
        <w:tc>
          <w:tcPr/>
          <w:p>
            <w:pPr>
              <w:pStyle w:val="Compact"/>
            </w:pPr>
            <w:r>
              <w:t xml:space="preserve">Digital Innovation Hubs</w:t>
            </w:r>
          </w:p>
        </w:tc>
      </w:tr>
      <w:tr>
        <w:tc>
          <w:tcPr/>
          <w:p>
            <w:pPr>
              <w:pStyle w:val="Compact"/>
            </w:pPr>
            <w:r>
              <w:t xml:space="preserve">Economic Actors</w:t>
            </w:r>
          </w:p>
        </w:tc>
        <w:tc>
          <w:tcPr/>
          <w:p>
            <w:pPr>
              <w:pStyle w:val="Compact"/>
            </w:pPr>
            <w:r>
              <w:t xml:space="preserve">Inter-American Development Bank; Development Bank of Latin America and the Caribbean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Economy; Digital Skills Development; Digital Infrastructure; Digital Sustainability</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r>
        <w:tc>
          <w:tcPr/>
          <w:p>
            <w:pPr>
              <w:pStyle w:val="Compact"/>
            </w:pPr>
            <w:r>
              <w:t xml:space="preserve">Data &amp; Governance</w:t>
            </w:r>
          </w:p>
        </w:tc>
        <w:tc>
          <w:tcPr/>
          <w:p>
            <w:pPr>
              <w:pStyle w:val="Compact"/>
            </w:pPr>
            <w:r>
              <w:t xml:space="preserve">Digital Governance; Cybersecurity</w:t>
            </w:r>
          </w:p>
        </w:tc>
      </w:tr>
    </w:tbl>
    <w:bookmarkEnd w:id="23"/>
    <w:bookmarkStart w:id="24" w:name="practical-applications"/>
    <w:p>
      <w:pPr>
        <w:pStyle w:val="Heading2"/>
      </w:pPr>
      <w:r>
        <w:t xml:space="preserve">Practical Applications</w:t>
      </w:r>
    </w:p>
    <w:p>
      <w:pPr>
        <w:pStyle w:val="Compact"/>
        <w:numPr>
          <w:ilvl w:val="0"/>
          <w:numId w:val="1002"/>
        </w:numPr>
      </w:pPr>
      <w:r>
        <w:t xml:space="preserve">Adoption of the Digital Agenda for Latin America and the Caribbean (eLAC2024).</w:t>
      </w:r>
    </w:p>
    <w:p>
      <w:pPr>
        <w:pStyle w:val="Compact"/>
        <w:numPr>
          <w:ilvl w:val="0"/>
          <w:numId w:val="1002"/>
        </w:numPr>
      </w:pPr>
      <w:r>
        <w:t xml:space="preserve">Formulation of a programme of cooperation activities for the 2022–2024 period to strengthen regional cooperation in digital matters, facilitating dialogue, sharing of experiences, knowledge management, and capacity-building.</w:t>
      </w:r>
    </w:p>
    <w:p>
      <w:pPr>
        <w:pStyle w:val="Compact"/>
        <w:numPr>
          <w:ilvl w:val="0"/>
          <w:numId w:val="1002"/>
        </w:numPr>
      </w:pPr>
      <w:r>
        <w:t xml:space="preserve">Recognition of the participation and work of regional and international entities, including the private sector, civil society, technical community, and development banks, in the implementation of the Digital Agenda for Latin America and the Caribbean (eLAC2024).</w:t>
      </w:r>
    </w:p>
    <w:p>
      <w:pPr>
        <w:pStyle w:val="Compact"/>
        <w:numPr>
          <w:ilvl w:val="0"/>
          <w:numId w:val="1002"/>
        </w:numPr>
      </w:pPr>
      <w:r>
        <w:t xml:space="preserve">Acknowledgment of the Economic Commission for Latin America and the Caribbean as the technical secretariat for the Digital Agenda, ensuring continuity of the process.</w:t>
      </w:r>
    </w:p>
    <w:p>
      <w:pPr>
        <w:pStyle w:val="Compact"/>
        <w:numPr>
          <w:ilvl w:val="0"/>
          <w:numId w:val="1002"/>
        </w:numPr>
      </w:pPr>
      <w:r>
        <w:t xml:space="preserve">Hosting of the ninth Ministerial Conference on the Information Society in Latin America and the Caribbean in 2024 by the Government of Chile.</w:t>
      </w:r>
    </w:p>
    <w:bookmarkEnd w:id="24"/>
    <w:bookmarkStart w:id="25" w:name="commitments"/>
    <w:p>
      <w:pPr>
        <w:pStyle w:val="Heading2"/>
      </w:pPr>
      <w:r>
        <w:t xml:space="preserve">Commitments</w:t>
      </w:r>
    </w:p>
    <w:p>
      <w:pPr>
        <w:pStyle w:val="Compact"/>
        <w:numPr>
          <w:ilvl w:val="0"/>
          <w:numId w:val="1003"/>
        </w:numPr>
      </w:pPr>
      <w:r>
        <w:t xml:space="preserve">Formulate a programme of cooperation activities for the 2022–2024 period under the Digital Agenda for Latin America and the Caribbean (eLAC2024).</w:t>
      </w:r>
    </w:p>
    <w:p>
      <w:pPr>
        <w:pStyle w:val="Compact"/>
        <w:numPr>
          <w:ilvl w:val="0"/>
          <w:numId w:val="1003"/>
        </w:numPr>
      </w:pPr>
      <w:r>
        <w:t xml:space="preserve">Host the ninth Ministerial Conference on the Information Society in Latin America and the Caribbean in 2024.</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2025-06-03T16:37:49Z</dcterms:created>
  <dcterms:modified xsi:type="dcterms:W3CDTF">2025-06-03T16:37:49Z</dcterms:modified>
</cp:coreProperties>
</file>

<file path=docProps/custom.xml><?xml version="1.0" encoding="utf-8"?>
<Properties xmlns="http://schemas.openxmlformats.org/officeDocument/2006/custom-properties" xmlns:vt="http://schemas.openxmlformats.org/officeDocument/2006/docPropsVTypes"/>
</file>