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a2951f2b20aeccfc933bdf19fa2c11b4cb5a872"/>
    <w:p>
      <w:pPr>
        <w:pStyle w:val="Heading1"/>
      </w:pPr>
      <w:r>
        <w:t xml:space="preserve">High Level Dialogue between the EU and Bolivia: Key Outcomes and Future Cooperation</w:t>
      </w:r>
    </w:p>
    <w:p>
      <w:pPr>
        <w:pStyle w:val="FirstParagraph"/>
      </w:pPr>
      <w:r>
        <w:rPr>
          <w:b/>
          <w:bCs/>
        </w:rPr>
        <w:t xml:space="preserve">Date</w:t>
      </w:r>
      <w:r>
        <w:t xml:space="preserve">: 2025-01-30</w:t>
      </w:r>
    </w:p>
    <w:p>
      <w:pPr>
        <w:pStyle w:val="BodyText"/>
      </w:pPr>
      <w:r>
        <w:rPr>
          <w:b/>
          <w:bCs/>
        </w:rPr>
        <w:t xml:space="preserve">Location</w:t>
      </w:r>
      <w:r>
        <w:t xml:space="preserve">: Brussels, Belgium</w:t>
      </w:r>
    </w:p>
    <w:bookmarkStart w:id="20" w:name="executive-summary"/>
    <w:p>
      <w:pPr>
        <w:pStyle w:val="Heading2"/>
      </w:pPr>
      <w:r>
        <w:t xml:space="preserve">Executive Summary</w:t>
      </w:r>
    </w:p>
    <w:p>
      <w:pPr>
        <w:pStyle w:val="FirstParagraph"/>
      </w:pPr>
      <w:r>
        <w:t xml:space="preserve">On January 30, 2025, the ninth High Level Dialogue between the European Union (EU) and Bolivia was held in Brussels, focusing on enhancing bilateral relations. The EU reaffirmed its commitment to support Bolivia in areas such as environmental sustainability, governance, and human rights, with a financial allocation of €134 million under the EU-Bolivia Multiannual Indicative Programme (2021-2027). Both parties agreed to collaborate on trade diversification and investment, particularly following Bolivia’s accession to MERCOSUR. They acknowledged the growing threat of cocaine trafficking and organized crime, emphasizing the need for cooperative measures. The dialogue also addressed international issues, including support for Ukraine and humanitarian concerns in Gaza. Both sides committed to ongoing dialogue and cooperation, aiming to strengthen democratic institutions and improve living conditions in Bolivia.</w:t>
      </w:r>
    </w:p>
    <w:bookmarkEnd w:id="20"/>
    <w:bookmarkStart w:id="21" w:name="characteristics"/>
    <w:p>
      <w:pPr>
        <w:pStyle w:val="Heading2"/>
      </w:pPr>
      <w:r>
        <w:t xml:space="preserve">Characteristics</w:t>
      </w:r>
    </w:p>
    <w:p>
      <w:pPr>
        <w:pStyle w:val="Compact"/>
        <w:numPr>
          <w:ilvl w:val="0"/>
          <w:numId w:val="1001"/>
        </w:numPr>
      </w:pPr>
      <w:r>
        <w:t xml:space="preserve">The ninth High Level Dialogue between the EU and Bolivia occurred on January 30, 2025, focusing on diplomatic relations and cooperation.</w:t>
      </w:r>
    </w:p>
    <w:p>
      <w:pPr>
        <w:pStyle w:val="Compact"/>
        <w:numPr>
          <w:ilvl w:val="0"/>
          <w:numId w:val="1001"/>
        </w:numPr>
      </w:pPr>
      <w:r>
        <w:t xml:space="preserve">The EU expressed commitment to support Bolivia in environmental initiatives, governance, and human rights, with a €134 million allocation for renewable energy and critical raw materials.</w:t>
      </w:r>
    </w:p>
    <w:p>
      <w:pPr>
        <w:pStyle w:val="Compact"/>
        <w:numPr>
          <w:ilvl w:val="0"/>
          <w:numId w:val="1001"/>
        </w:numPr>
      </w:pPr>
      <w:r>
        <w:t xml:space="preserve">Both parties agreed to enhance bilateral trade and investment, celebrating Bolivia’s accession to MERCOSUR.</w:t>
      </w:r>
    </w:p>
    <w:p>
      <w:pPr>
        <w:pStyle w:val="Compact"/>
        <w:numPr>
          <w:ilvl w:val="0"/>
          <w:numId w:val="1001"/>
        </w:numPr>
      </w:pPr>
      <w:r>
        <w:t xml:space="preserve">They acknowledged the growing threat of cocaine trafficking and organized crime, emphasizing the need for cooperation to address these issues.</w:t>
      </w:r>
    </w:p>
    <w:p>
      <w:pPr>
        <w:pStyle w:val="Compact"/>
        <w:numPr>
          <w:ilvl w:val="0"/>
          <w:numId w:val="1001"/>
        </w:numPr>
      </w:pPr>
      <w:r>
        <w:t xml:space="preserve">The dialogue reaffirmed support for Ukraine amidst the ongoing conflict and highlighted the importance of humanitarian efforts in Gaza.</w:t>
      </w:r>
    </w:p>
    <w:p>
      <w:pPr>
        <w:pStyle w:val="Compact"/>
        <w:numPr>
          <w:ilvl w:val="0"/>
          <w:numId w:val="1001"/>
        </w:numPr>
      </w:pPr>
      <w:r>
        <w:t xml:space="preserve">Both sides committed to ongoing dialogue and collaboration to tackle 21st-century challenges, promoting green and inclusive societies.</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Bolivia; European External Action Service; Community of Latin American and Caribbean States; Southern Common Market</w:t>
            </w:r>
          </w:p>
        </w:tc>
      </w:tr>
      <w:tr>
        <w:tc>
          <w:tcPr/>
          <w:p>
            <w:pPr>
              <w:pStyle w:val="Compact"/>
            </w:pPr>
            <w:r>
              <w:t xml:space="preserve">Government Officials</w:t>
            </w:r>
          </w:p>
        </w:tc>
        <w:tc>
          <w:tcPr/>
          <w:p>
            <w:pPr>
              <w:pStyle w:val="Compact"/>
            </w:pPr>
            <w:r>
              <w:t xml:space="preserve">Pelayo Castro; Celinda Sosa; Joseph Síkela; Belén Martinez Carbonell</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Bi-regional Cooperation; Global Digital Cooperation; EU-CELAC Digital Partnership</w:t>
            </w:r>
          </w:p>
        </w:tc>
      </w:tr>
      <w:tr>
        <w:tc>
          <w:tcPr/>
          <w:p>
            <w:pPr>
              <w:pStyle w:val="Compact"/>
            </w:pPr>
            <w:r>
              <w:t xml:space="preserve">Data &amp; Governance</w:t>
            </w:r>
          </w:p>
        </w:tc>
        <w:tc>
          <w:tcPr/>
          <w:p>
            <w:pPr>
              <w:pStyle w:val="Compact"/>
            </w:pPr>
            <w:r>
              <w:t xml:space="preserve">Digital Governance; Data Protection</w:t>
            </w:r>
          </w:p>
        </w:tc>
      </w:tr>
      <w:tr>
        <w:tc>
          <w:tcPr/>
          <w:p>
            <w:pPr>
              <w:pStyle w:val="Compact"/>
            </w:pPr>
            <w:r>
              <w:t xml:space="preserve">Inclusion &amp; Social Development</w:t>
            </w:r>
          </w:p>
        </w:tc>
        <w:tc>
          <w:tcPr/>
          <w:p>
            <w:pPr>
              <w:pStyle w:val="Compact"/>
            </w:pPr>
            <w:r>
              <w:t xml:space="preserve">Sustainable Digital Development</w:t>
            </w:r>
          </w:p>
        </w:tc>
      </w:tr>
    </w:tbl>
    <w:bookmarkEnd w:id="23"/>
    <w:bookmarkStart w:id="24" w:name="practical-applications"/>
    <w:p>
      <w:pPr>
        <w:pStyle w:val="Heading2"/>
      </w:pPr>
      <w:r>
        <w:t xml:space="preserve">Practical Applications</w:t>
      </w:r>
    </w:p>
    <w:p>
      <w:pPr>
        <w:pStyle w:val="Compact"/>
        <w:numPr>
          <w:ilvl w:val="0"/>
          <w:numId w:val="1002"/>
        </w:numPr>
      </w:pPr>
      <w:r>
        <w:t xml:space="preserve">The EU-Bolivia Multiannual Indicative Programme (2021-2027) with an allocation of €134 million to support activities related to the environment, climate change, governance, and human rights.</w:t>
      </w:r>
    </w:p>
    <w:p>
      <w:pPr>
        <w:pStyle w:val="Compact"/>
        <w:numPr>
          <w:ilvl w:val="0"/>
          <w:numId w:val="1002"/>
        </w:numPr>
      </w:pPr>
      <w:r>
        <w:t xml:space="preserve">Ongoing cooperation to tackle cocaine trafficking and organized crime, including plans to consolidate a bi-regional response during the Ministerial meeting on 6 March.</w:t>
      </w:r>
    </w:p>
    <w:p>
      <w:pPr>
        <w:pStyle w:val="Compact"/>
        <w:numPr>
          <w:ilvl w:val="0"/>
          <w:numId w:val="1002"/>
        </w:numPr>
      </w:pPr>
      <w:r>
        <w:t xml:space="preserve">Efforts to deepen operational exchanges between EUROPOL and Bolivia through the conclusion of negotiations for a related international agreement.</w:t>
      </w:r>
    </w:p>
    <w:p>
      <w:pPr>
        <w:pStyle w:val="Compact"/>
        <w:numPr>
          <w:ilvl w:val="0"/>
          <w:numId w:val="1002"/>
        </w:numPr>
      </w:pPr>
      <w:r>
        <w:t xml:space="preserve">Bolivia’s accession to the EU-LAC Digital Alliance, promoting digital cooperation.</w:t>
      </w:r>
    </w:p>
    <w:p>
      <w:pPr>
        <w:pStyle w:val="Compact"/>
        <w:numPr>
          <w:ilvl w:val="0"/>
          <w:numId w:val="1002"/>
        </w:numPr>
      </w:pPr>
      <w:r>
        <w:t xml:space="preserve">Commitment to work towards the 2025 EU-CELAC Summit in Colombia to produce concrete results, including investments under the Global Gateway Investment Agenda.</w:t>
      </w:r>
    </w:p>
    <w:bookmarkEnd w:id="24"/>
    <w:bookmarkStart w:id="25" w:name="commitments"/>
    <w:p>
      <w:pPr>
        <w:pStyle w:val="Heading2"/>
      </w:pPr>
      <w:r>
        <w:t xml:space="preserve">Commitments</w:t>
      </w:r>
    </w:p>
    <w:p>
      <w:pPr>
        <w:pStyle w:val="Compact"/>
        <w:numPr>
          <w:ilvl w:val="0"/>
          <w:numId w:val="1003"/>
        </w:numPr>
      </w:pPr>
      <w:r>
        <w:t xml:space="preserve">The EU-Bolivia Multiannual Indicative Programme (2021-2027) has an allocation of €134 million for supporting activities related to the environment, climate change, governance, and human rights.</w:t>
      </w:r>
    </w:p>
    <w:p>
      <w:pPr>
        <w:pStyle w:val="Compact"/>
        <w:numPr>
          <w:ilvl w:val="0"/>
          <w:numId w:val="1003"/>
        </w:numPr>
      </w:pPr>
      <w:r>
        <w:t xml:space="preserve">Both parties aim to produce concrete results, including investments under the Global Gateway Investment Agenda, for the 2025 EU-CELAC Summit in Colombia.</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2025-06-03T17:12:54Z</dcterms:created>
  <dcterms:modified xsi:type="dcterms:W3CDTF">2025-06-03T17:12:54Z</dcterms:modified>
</cp:coreProperties>
</file>

<file path=docProps/custom.xml><?xml version="1.0" encoding="utf-8"?>
<Properties xmlns="http://schemas.openxmlformats.org/officeDocument/2006/custom-properties" xmlns:vt="http://schemas.openxmlformats.org/officeDocument/2006/docPropsVTypes"/>
</file>