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835ae7498d9426da88548c4671f46bc2d413c96"/>
    <w:p>
      <w:pPr>
        <w:pStyle w:val="Heading1"/>
      </w:pPr>
      <w:r>
        <w:t xml:space="preserve">EU-LAC Dialogue on Artificial Intelligence: Opportunities and Governance for Sustainable Development</w:t>
      </w:r>
    </w:p>
    <w:p>
      <w:pPr>
        <w:pStyle w:val="FirstParagraph"/>
      </w:pPr>
      <w:r>
        <w:rPr>
          <w:b/>
          <w:bCs/>
        </w:rPr>
        <w:t xml:space="preserve">Date</w:t>
      </w:r>
      <w:r>
        <w:t xml:space="preserve">: 2024-03-13</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On March 13, 2024, the EU-LAC Digital Alliance convened in Montevideo, Uruguay, to explore the transformative potential of Artificial Intelligence (AI) for socio-economic growth in Latin America and the Caribbean (LAC). The dialogue, featuring representatives from the EU and LAC countries, focused on governance, regulatory convergence, and the sustainable development applications of AI. Keynote speeches highlighted the EU AI Act’s vision for human-centric AI and the importance of global collaboration. The event emphasized multi-stakeholder participation, including civil society and academia, and will be followed by training initiatives to empower policymakers. This dialogue is part of ongoing efforts leading to the IX Ministerial Conference on the Information Society (eLAC 2024) in Chile, reinforcing the commitment to shared values and collaborative strategies in AI development.</w:t>
      </w:r>
    </w:p>
    <w:bookmarkEnd w:id="20"/>
    <w:bookmarkStart w:id="21" w:name="characteristics"/>
    <w:p>
      <w:pPr>
        <w:pStyle w:val="Heading2"/>
      </w:pPr>
      <w:r>
        <w:t xml:space="preserve">Characteristics</w:t>
      </w:r>
    </w:p>
    <w:p>
      <w:pPr>
        <w:pStyle w:val="Compact"/>
        <w:numPr>
          <w:ilvl w:val="0"/>
          <w:numId w:val="1001"/>
        </w:numPr>
      </w:pPr>
      <w:r>
        <w:t xml:space="preserve">The EU-LAC Digital Alliance held a Policy Dialogue on AI in Montevideo on March 13, 2024, focusing on risks and opportunities for socio-economic growth.</w:t>
      </w:r>
    </w:p>
    <w:p>
      <w:pPr>
        <w:pStyle w:val="Compact"/>
        <w:numPr>
          <w:ilvl w:val="0"/>
          <w:numId w:val="1001"/>
        </w:numPr>
      </w:pPr>
      <w:r>
        <w:t xml:space="preserve">Key topics included governance, regulatory convergence, training, and AI applications for sustainable development.</w:t>
      </w:r>
    </w:p>
    <w:p>
      <w:pPr>
        <w:pStyle w:val="Compact"/>
        <w:numPr>
          <w:ilvl w:val="0"/>
          <w:numId w:val="1001"/>
        </w:numPr>
      </w:pPr>
      <w:r>
        <w:t xml:space="preserve">The dialogue emphasized a multi-stakeholder approach, involving civil society, academia, and the private sector.</w:t>
      </w:r>
    </w:p>
    <w:p>
      <w:pPr>
        <w:pStyle w:val="Compact"/>
        <w:numPr>
          <w:ilvl w:val="0"/>
          <w:numId w:val="1001"/>
        </w:numPr>
      </w:pPr>
      <w:r>
        <w:t xml:space="preserve">The EU AI Act was presented as a framework for promoting human-centric and trustworthy AI.</w:t>
      </w:r>
    </w:p>
    <w:p>
      <w:pPr>
        <w:pStyle w:val="Compact"/>
        <w:numPr>
          <w:ilvl w:val="0"/>
          <w:numId w:val="1001"/>
        </w:numPr>
      </w:pPr>
      <w:r>
        <w:t xml:space="preserve">Future training for policymakers will support the implementation of AI ethics, backed by a €4 million project with UNESCO.</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European Commission; EU Member States; United Nations</w:t>
            </w:r>
          </w:p>
        </w:tc>
      </w:tr>
      <w:tr>
        <w:tc>
          <w:tcPr/>
          <w:p>
            <w:pPr>
              <w:pStyle w:val="Compact"/>
            </w:pPr>
            <w:r>
              <w:t xml:space="preserve">Research and Innovation Actors</w:t>
            </w:r>
          </w:p>
        </w:tc>
        <w:tc>
          <w:tcPr/>
          <w:p>
            <w:pPr>
              <w:pStyle w:val="Compact"/>
            </w:pPr>
            <w:r>
              <w:t xml:space="preserve">EU-LAC Digital Alliance; UNESCO</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Technology &amp; Innovation</w:t>
            </w:r>
          </w:p>
        </w:tc>
        <w:tc>
          <w:tcPr/>
          <w:p>
            <w:pPr>
              <w:pStyle w:val="Compact"/>
            </w:pPr>
            <w:r>
              <w:t xml:space="preserve">Artificial Intelligence</w:t>
            </w:r>
          </w:p>
        </w:tc>
      </w:tr>
      <w:tr>
        <w:tc>
          <w:tcPr/>
          <w:p>
            <w:pPr>
              <w:pStyle w:val="Compact"/>
            </w:pPr>
            <w:r>
              <w:t xml:space="preserve">Regional &amp; International Cooperation</w:t>
            </w:r>
          </w:p>
        </w:tc>
        <w:tc>
          <w:tcPr/>
          <w:p>
            <w:pPr>
              <w:pStyle w:val="Compact"/>
            </w:pPr>
            <w:r>
              <w:t xml:space="preserve">EU-LAC Digital Alliance; Bi-regional Cooperation</w:t>
            </w:r>
          </w:p>
        </w:tc>
      </w:tr>
    </w:tbl>
    <w:bookmarkEnd w:id="23"/>
    <w:bookmarkStart w:id="24" w:name="practical-applications"/>
    <w:p>
      <w:pPr>
        <w:pStyle w:val="Heading2"/>
      </w:pPr>
      <w:r>
        <w:t xml:space="preserve">Practical Applications</w:t>
      </w:r>
    </w:p>
    <w:p>
      <w:pPr>
        <w:pStyle w:val="Compact"/>
        <w:numPr>
          <w:ilvl w:val="0"/>
          <w:numId w:val="1002"/>
        </w:numPr>
      </w:pPr>
      <w:r>
        <w:t xml:space="preserve">The EU-LAC Digital Alliance held a Policy Dialogue on Artificial Intelligence on 13 March 2024, focusing on governance, regulatory convergence, standards, training, capacity building, and AI applications for sustainable development.</w:t>
      </w:r>
    </w:p>
    <w:p>
      <w:pPr>
        <w:pStyle w:val="Compact"/>
        <w:numPr>
          <w:ilvl w:val="0"/>
          <w:numId w:val="1002"/>
        </w:numPr>
      </w:pPr>
      <w:r>
        <w:t xml:space="preserve">The European Commission and UNESCO are collaborating on a €4 million project to support the implementation of UNESCO’s Recommendation on the Ethics of AI.</w:t>
      </w:r>
    </w:p>
    <w:p>
      <w:pPr>
        <w:pStyle w:val="Compact"/>
        <w:numPr>
          <w:ilvl w:val="0"/>
          <w:numId w:val="1002"/>
        </w:numPr>
      </w:pPr>
      <w:r>
        <w:t xml:space="preserve">The initiative on AI is being led by Chile, Brazil, Uruguay, Spain, Slovenia, and the European Commission, building on previous work from the EU-LAC Digital Alliance conference in November 2023.</w:t>
      </w:r>
    </w:p>
    <w:bookmarkEnd w:id="24"/>
    <w:bookmarkStart w:id="25" w:name="commitments"/>
    <w:p>
      <w:pPr>
        <w:pStyle w:val="Heading2"/>
      </w:pPr>
      <w:r>
        <w:t xml:space="preserve">Commitments</w:t>
      </w:r>
    </w:p>
    <w:p>
      <w:pPr>
        <w:pStyle w:val="Compact"/>
        <w:numPr>
          <w:ilvl w:val="0"/>
          <w:numId w:val="1003"/>
        </w:numPr>
      </w:pPr>
      <w:r>
        <w:t xml:space="preserve">The European Commission and UNESCO will work together on a €4 million project to support partners in the implementation of UNESCO’s Recommendation on the Ethics of AI.</w:t>
      </w:r>
    </w:p>
    <w:p>
      <w:pPr>
        <w:pStyle w:val="Compact"/>
        <w:numPr>
          <w:ilvl w:val="0"/>
          <w:numId w:val="1003"/>
        </w:numPr>
      </w:pPr>
      <w:r>
        <w:t xml:space="preserve">The IX Ministerial Conference on the Information Society (eLAC 2024) will be held in Chile in November 2024.</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2025-06-03T17:32:57Z</dcterms:created>
  <dcterms:modified xsi:type="dcterms:W3CDTF">2025-06-03T17:32:57Z</dcterms:modified>
</cp:coreProperties>
</file>

<file path=docProps/custom.xml><?xml version="1.0" encoding="utf-8"?>
<Properties xmlns="http://schemas.openxmlformats.org/officeDocument/2006/custom-properties" xmlns:vt="http://schemas.openxmlformats.org/officeDocument/2006/docPropsVTypes"/>
</file>