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a3a3fe22bcfe1d23e942a038e335dcc7c70661"/>
    <w:p>
      <w:pPr>
        <w:pStyle w:val="Heading1"/>
      </w:pPr>
      <w:r>
        <w:t xml:space="preserve">EU-LAC Digital Alliance High-Level Policy Dialogue on Data Governance 2024 Report</w:t>
      </w:r>
    </w:p>
    <w:p>
      <w:pPr>
        <w:pStyle w:val="FirstParagraph"/>
      </w:pPr>
      <w:r>
        <w:rPr>
          <w:b/>
          <w:bCs/>
        </w:rPr>
        <w:t xml:space="preserve">Date</w:t>
      </w:r>
      <w:r>
        <w:t xml:space="preserve">: 2024-09-30</w:t>
      </w:r>
    </w:p>
    <w:p>
      <w:pPr>
        <w:pStyle w:val="BodyText"/>
      </w:pPr>
      <w:r>
        <w:rPr>
          <w:b/>
          <w:bCs/>
        </w:rPr>
        <w:t xml:space="preserve">Location</w:t>
      </w:r>
      <w:r>
        <w:t xml:space="preserve">: Montevideo, Uruguay</w:t>
      </w:r>
    </w:p>
    <w:bookmarkStart w:id="20" w:name="executive-summary"/>
    <w:p>
      <w:pPr>
        <w:pStyle w:val="Heading2"/>
      </w:pPr>
      <w:r>
        <w:t xml:space="preserve">Executive Summary</w:t>
      </w:r>
    </w:p>
    <w:p>
      <w:pPr>
        <w:pStyle w:val="FirstParagraph"/>
      </w:pPr>
      <w:r>
        <w:t xml:space="preserve">The EU-LAC Digital Alliance held a High-Level Policy Dialogue on Data Governance in Montevideo, Uruguay, from September 30 to October 1, 2024. This event aimed to foster consensus on digital policy areas, focusing on personal data protection, AI governance, and international data transfers. Key discussions included harmonizing data protection regulations and establishing secure data transfer frameworks. Participants included high-level representatives from EU Member States, LAC countries, and various stakeholders. Outcomes included a commitment to draft a roadmap for regulatory convergence by mid-2025 and to enhance capacity-building for LAC data protection authorities. The next steps involve refining the roadmap and integrating outcomes into the Global Gateway Investment Agenda, with progress to be presented at the EU-CELAC Summit in Bogotá in 2025.</w:t>
      </w:r>
    </w:p>
    <w:bookmarkEnd w:id="20"/>
    <w:bookmarkStart w:id="21" w:name="characteristics"/>
    <w:p>
      <w:pPr>
        <w:pStyle w:val="Heading2"/>
      </w:pPr>
      <w:r>
        <w:t xml:space="preserve">Characteristics</w:t>
      </w:r>
    </w:p>
    <w:p>
      <w:pPr>
        <w:pStyle w:val="Compact"/>
        <w:numPr>
          <w:ilvl w:val="0"/>
          <w:numId w:val="1001"/>
        </w:numPr>
      </w:pPr>
      <w:r>
        <w:rPr>
          <w:b/>
          <w:bCs/>
        </w:rPr>
        <w:t xml:space="preserve">Bi-regional Platform</w:t>
      </w:r>
      <w:r>
        <w:t xml:space="preserve">: The EU-LAC Digital Alliance facilitates structured dialogues between Europe and Latin America &amp; Caribbean, focusing on digital policy areas like data governance and AI.</w:t>
      </w:r>
    </w:p>
    <w:p>
      <w:pPr>
        <w:pStyle w:val="Compact"/>
        <w:numPr>
          <w:ilvl w:val="0"/>
          <w:numId w:val="1001"/>
        </w:numPr>
      </w:pPr>
      <w:r>
        <w:rPr>
          <w:b/>
          <w:bCs/>
        </w:rPr>
        <w:t xml:space="preserve">Multistakeholder Approach</w:t>
      </w:r>
      <w:r>
        <w:t xml:space="preserve">: Involves governments, private sector, civil society, and academia to ensure diverse perspectives in discussions and decision-making.</w:t>
      </w:r>
    </w:p>
    <w:p>
      <w:pPr>
        <w:pStyle w:val="Compact"/>
        <w:numPr>
          <w:ilvl w:val="0"/>
          <w:numId w:val="1001"/>
        </w:numPr>
      </w:pPr>
      <w:r>
        <w:rPr>
          <w:b/>
          <w:bCs/>
        </w:rPr>
        <w:t xml:space="preserve">Key Objectives</w:t>
      </w:r>
      <w:r>
        <w:t xml:space="preserve">: Aims to harmonize data protection regulations, enhance cooperation, and prepare for the EU-CELAC Summit 2025.</w:t>
      </w:r>
    </w:p>
    <w:p>
      <w:pPr>
        <w:pStyle w:val="Compact"/>
        <w:numPr>
          <w:ilvl w:val="0"/>
          <w:numId w:val="1001"/>
        </w:numPr>
      </w:pPr>
      <w:r>
        <w:rPr>
          <w:b/>
          <w:bCs/>
        </w:rPr>
        <w:t xml:space="preserve">Outcomes</w:t>
      </w:r>
      <w:r>
        <w:t xml:space="preserve">: Commitment to draft a regulatory convergence roadmap and launch capacity-building programs for data protection authorities in LAC.</w:t>
      </w:r>
    </w:p>
    <w:p>
      <w:pPr>
        <w:pStyle w:val="Compact"/>
        <w:numPr>
          <w:ilvl w:val="0"/>
          <w:numId w:val="1001"/>
        </w:numPr>
      </w:pPr>
      <w:r>
        <w:rPr>
          <w:b/>
          <w:bCs/>
        </w:rPr>
        <w:t xml:space="preserve">Event Format</w:t>
      </w:r>
      <w:r>
        <w:t xml:space="preserve">: Features plenary sessions and thematic working groups, conducted in Spanish, English, and Portuguese.</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 Member States; European Commission; Oriental Republic of Uruguay; Community of Latin American and Caribbean States</w:t>
            </w:r>
          </w:p>
        </w:tc>
      </w:tr>
      <w:tr>
        <w:tc>
          <w:tcPr/>
          <w:p>
            <w:pPr>
              <w:pStyle w:val="Compact"/>
            </w:pPr>
            <w:r>
              <w:t xml:space="preserve">Research and Innovation Actors</w:t>
            </w:r>
          </w:p>
        </w:tc>
        <w:tc>
          <w:tcPr/>
          <w:p>
            <w:pPr>
              <w:pStyle w:val="Compact"/>
            </w:pPr>
            <w:r>
              <w:t xml:space="preserve">D4D Hub; EU-LAC Digital Alliance</w:t>
            </w:r>
          </w:p>
        </w:tc>
      </w:tr>
      <w:tr>
        <w:tc>
          <w:tcPr/>
          <w:p>
            <w:pPr>
              <w:pStyle w:val="Compact"/>
            </w:pPr>
            <w:r>
              <w:t xml:space="preserve">Civil Society Actors</w:t>
            </w:r>
          </w:p>
        </w:tc>
        <w:tc>
          <w:tcPr/>
          <w:p>
            <w:pPr>
              <w:pStyle w:val="Compact"/>
            </w:pPr>
            <w:r>
              <w:t xml:space="preserve">Civil Society Organisations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 Bi-regional Cooperation; Global Digital Cooperation</w:t>
            </w:r>
          </w:p>
        </w:tc>
      </w:tr>
      <w:tr>
        <w:tc>
          <w:tcPr/>
          <w:p>
            <w:pPr>
              <w:pStyle w:val="Compact"/>
            </w:pPr>
            <w:r>
              <w:t xml:space="preserve">Data &amp; Governance</w:t>
            </w:r>
          </w:p>
        </w:tc>
        <w:tc>
          <w:tcPr/>
          <w:p>
            <w:pPr>
              <w:pStyle w:val="Compact"/>
            </w:pPr>
            <w:r>
              <w:t xml:space="preserve">Data Governance; E-Governance; Data Protection; Cybersecurity</w:t>
            </w:r>
          </w:p>
        </w:tc>
      </w:tr>
      <w:tr>
        <w:tc>
          <w:tcPr/>
          <w:p>
            <w:pPr>
              <w:pStyle w:val="Compact"/>
            </w:pPr>
            <w:r>
              <w:t xml:space="preserve">Technology &amp; Innovation</w:t>
            </w:r>
          </w:p>
        </w:tc>
        <w:tc>
          <w:tcPr/>
          <w:p>
            <w:pPr>
              <w:pStyle w:val="Compact"/>
            </w:pPr>
            <w:r>
              <w:t xml:space="preserve">Artificial Intelligence</w:t>
            </w:r>
          </w:p>
        </w:tc>
      </w:tr>
    </w:tbl>
    <w:bookmarkEnd w:id="23"/>
    <w:bookmarkStart w:id="24" w:name="practical-applications"/>
    <w:p>
      <w:pPr>
        <w:pStyle w:val="Heading2"/>
      </w:pPr>
      <w:r>
        <w:t xml:space="preserve">Practical Applications</w:t>
      </w:r>
    </w:p>
    <w:p>
      <w:pPr>
        <w:pStyle w:val="Compact"/>
        <w:numPr>
          <w:ilvl w:val="0"/>
          <w:numId w:val="1002"/>
        </w:numPr>
      </w:pPr>
      <w:r>
        <w:t xml:space="preserve">Implementation of the EU-LAC Digital Alliance Policy Dialogues, which serve as a structured bi-regional platform for consensus-building on digital policy areas.</w:t>
      </w:r>
    </w:p>
    <w:p>
      <w:pPr>
        <w:pStyle w:val="Compact"/>
        <w:numPr>
          <w:ilvl w:val="0"/>
          <w:numId w:val="1002"/>
        </w:numPr>
      </w:pPr>
      <w:r>
        <w:t xml:space="preserve">Co-hosting of the High-Level Policy Dialogue on Data Governance by the European Union and Uruguay, facilitating discussions among senior government officials and experts.</w:t>
      </w:r>
    </w:p>
    <w:p>
      <w:pPr>
        <w:pStyle w:val="Compact"/>
        <w:numPr>
          <w:ilvl w:val="0"/>
          <w:numId w:val="1002"/>
        </w:numPr>
      </w:pPr>
      <w:r>
        <w:t xml:space="preserve">Commitment to draft a roadmap for regulatory convergence on data governance by mid-2025.</w:t>
      </w:r>
    </w:p>
    <w:p>
      <w:pPr>
        <w:pStyle w:val="Compact"/>
        <w:numPr>
          <w:ilvl w:val="0"/>
          <w:numId w:val="1002"/>
        </w:numPr>
      </w:pPr>
      <w:r>
        <w:t xml:space="preserve">Launch of capacity-building programmes for LAC data protection authorities, supported by Team Europe instruments.</w:t>
      </w:r>
    </w:p>
    <w:p>
      <w:pPr>
        <w:pStyle w:val="Compact"/>
        <w:numPr>
          <w:ilvl w:val="0"/>
          <w:numId w:val="1002"/>
        </w:numPr>
      </w:pPr>
      <w:r>
        <w:t xml:space="preserve">Guyana’s formal adherence to the Joint Declaration on the EU-LAC Digital Alliance during the event.</w:t>
      </w:r>
    </w:p>
    <w:p>
      <w:pPr>
        <w:pStyle w:val="Compact"/>
        <w:numPr>
          <w:ilvl w:val="0"/>
          <w:numId w:val="1002"/>
        </w:numPr>
      </w:pPr>
      <w:r>
        <w:t xml:space="preserve">Establishment of working groups to refine the roadmap draft by Q1 2025.</w:t>
      </w:r>
    </w:p>
    <w:bookmarkEnd w:id="24"/>
    <w:bookmarkStart w:id="25" w:name="commitments"/>
    <w:p>
      <w:pPr>
        <w:pStyle w:val="Heading2"/>
      </w:pPr>
      <w:r>
        <w:t xml:space="preserve">Commitments</w:t>
      </w:r>
    </w:p>
    <w:p>
      <w:pPr>
        <w:pStyle w:val="Compact"/>
        <w:numPr>
          <w:ilvl w:val="0"/>
          <w:numId w:val="1003"/>
        </w:numPr>
      </w:pPr>
      <w:r>
        <w:t xml:space="preserve">Draft a roadmap for regulatory convergence on data governance before mid-2025.</w:t>
      </w:r>
    </w:p>
    <w:p>
      <w:pPr>
        <w:pStyle w:val="Compact"/>
        <w:numPr>
          <w:ilvl w:val="0"/>
          <w:numId w:val="1003"/>
        </w:numPr>
      </w:pPr>
      <w:r>
        <w:t xml:space="preserve">Launch capacity-building programmes for LAC data protection authorities with support from Team Europe instruments.</w:t>
      </w:r>
    </w:p>
    <w:p>
      <w:pPr>
        <w:pStyle w:val="Compact"/>
        <w:numPr>
          <w:ilvl w:val="0"/>
          <w:numId w:val="1003"/>
        </w:numPr>
      </w:pPr>
      <w:r>
        <w:t xml:space="preserve">Establish working groups to refine roadmap draft by Q1 2025.</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2025-06-03T17:35:27Z</dcterms:created>
  <dcterms:modified xsi:type="dcterms:W3CDTF">2025-06-03T17:35:27Z</dcterms:modified>
</cp:coreProperties>
</file>

<file path=docProps/custom.xml><?xml version="1.0" encoding="utf-8"?>
<Properties xmlns="http://schemas.openxmlformats.org/officeDocument/2006/custom-properties" xmlns:vt="http://schemas.openxmlformats.org/officeDocument/2006/docPropsVTypes"/>
</file>