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be6dfd52afa3f23d47a50d24e0c3f89bf878f20"/>
    <w:p>
      <w:pPr>
        <w:pStyle w:val="Heading1"/>
      </w:pPr>
      <w:r>
        <w:t xml:space="preserve">EU-LAC Digital Alliance Advances E-Governance Cooperation and Interoperability</w:t>
      </w:r>
    </w:p>
    <w:p>
      <w:pPr>
        <w:pStyle w:val="FirstParagraph"/>
      </w:pPr>
      <w:r>
        <w:rPr>
          <w:b/>
          <w:bCs/>
        </w:rPr>
        <w:t xml:space="preserve">Date</w:t>
      </w:r>
      <w:r>
        <w:t xml:space="preserve">: 2024-05-17</w:t>
      </w:r>
    </w:p>
    <w:p>
      <w:pPr>
        <w:pStyle w:val="BodyText"/>
      </w:pPr>
      <w:r>
        <w:rPr>
          <w:b/>
          <w:bCs/>
        </w:rPr>
        <w:t xml:space="preserve">Location</w:t>
      </w:r>
      <w:r>
        <w:t xml:space="preserve">: San José, Costa Rica</w:t>
      </w:r>
    </w:p>
    <w:bookmarkStart w:id="20" w:name="executive-summary"/>
    <w:p>
      <w:pPr>
        <w:pStyle w:val="Heading2"/>
      </w:pPr>
      <w:r>
        <w:t xml:space="preserve">Executive Summary</w:t>
      </w:r>
    </w:p>
    <w:p>
      <w:pPr>
        <w:pStyle w:val="FirstParagraph"/>
      </w:pPr>
      <w:r>
        <w:t xml:space="preserve">The EU-LAC Digital Alliance convened a High-Level Policy Dialogue on E-Governance in San José, Costa Rica, from May 15-17, 2024, to enhance cooperation in digital public services. The meeting aimed to develop an action plan for improving interoperability among digital services in Latin America and the Caribbean (LAC) and the European Union (EU). Key initiatives discussed included the Central American Digital Trade Platform, which aims to streamline trade operations and reduce costs, and a project in El Salvador to modernize its civil registry system. The dialogue also emphasized the importance of closing the gender gap in technology through initiatives like GovStack, which empowers women in digital governance. The discussions set the groundwork for a bi-regional agenda leading up to the 2025 EU-CELAC Summit, reinforcing the commitment to regular cooperation on digital matters for the benefit of citizens.</w:t>
      </w:r>
    </w:p>
    <w:bookmarkEnd w:id="20"/>
    <w:bookmarkStart w:id="21" w:name="characteristics"/>
    <w:p>
      <w:pPr>
        <w:pStyle w:val="Heading2"/>
      </w:pPr>
      <w:r>
        <w:t xml:space="preserve">Characteristics</w:t>
      </w:r>
    </w:p>
    <w:p>
      <w:pPr>
        <w:pStyle w:val="Compact"/>
        <w:numPr>
          <w:ilvl w:val="0"/>
          <w:numId w:val="1001"/>
        </w:numPr>
      </w:pPr>
      <w:r>
        <w:t xml:space="preserve">The EU-LAC Digital Alliance aims to enhance eGovernance through improved cooperation and interoperability between digital public services in the EU and Latin America &amp; the Caribbean.</w:t>
      </w:r>
    </w:p>
    <w:p>
      <w:pPr>
        <w:pStyle w:val="Compact"/>
        <w:numPr>
          <w:ilvl w:val="0"/>
          <w:numId w:val="1001"/>
        </w:numPr>
      </w:pPr>
      <w:r>
        <w:t xml:space="preserve">A key focus is on establishing a digital civil registry in El Salvador to ensure legal identity and access to public services for all citizens.</w:t>
      </w:r>
    </w:p>
    <w:p>
      <w:pPr>
        <w:pStyle w:val="Compact"/>
        <w:numPr>
          <w:ilvl w:val="0"/>
          <w:numId w:val="1001"/>
        </w:numPr>
      </w:pPr>
      <w:r>
        <w:t xml:space="preserve">The initiative promotes women’s participation in GovTech, equipping them with skills to drive digital transformation in public administration.</w:t>
      </w:r>
    </w:p>
    <w:p>
      <w:pPr>
        <w:pStyle w:val="Compact"/>
        <w:numPr>
          <w:ilvl w:val="0"/>
          <w:numId w:val="1001"/>
        </w:numPr>
      </w:pPr>
      <w:r>
        <w:t xml:space="preserve">The dialogue serves as a platform for sharing best practices and experiences, contributing to a roadmap for bi-regional cooperation on digital governance.</w:t>
      </w:r>
    </w:p>
    <w:p>
      <w:pPr>
        <w:pStyle w:val="Compact"/>
        <w:numPr>
          <w:ilvl w:val="0"/>
          <w:numId w:val="1001"/>
        </w:numPr>
      </w:pPr>
      <w:r>
        <w:t xml:space="preserve">The Central American Digital Trade Platform exemplifies successful interoperability, facilitating trade and reducing costs for over 10,000 companies.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Commission; Costa Rica; Guatemala; Estonia; Paula Bogantes; Edie Cux; Felice Zaccheo; Ana Maria Busoniu; Hannes Astok; Sealtiel Álvarez Sánchez</w:t>
            </w:r>
          </w:p>
        </w:tc>
      </w:tr>
      <w:tr>
        <w:tc>
          <w:tcPr/>
          <w:p>
            <w:pPr>
              <w:pStyle w:val="Compact"/>
            </w:pPr>
            <w:r>
              <w:t xml:space="preserve">Research and Innovation Actors</w:t>
            </w:r>
          </w:p>
        </w:tc>
        <w:tc>
          <w:tcPr/>
          <w:p>
            <w:pPr>
              <w:pStyle w:val="Compact"/>
            </w:pPr>
            <w:r>
              <w:t xml:space="preserve">GovStack; ITU-International Telecommunication Union; DIAL-Digital Impact Alliance; EU-LAC Digital Alliance</w:t>
            </w:r>
          </w:p>
        </w:tc>
      </w:tr>
      <w:tr>
        <w:tc>
          <w:tcPr/>
          <w:p>
            <w:pPr>
              <w:pStyle w:val="Compact"/>
            </w:pPr>
            <w:r>
              <w:t xml:space="preserve">Economic Actors</w:t>
            </w:r>
          </w:p>
        </w:tc>
        <w:tc>
          <w:tcPr/>
          <w:p>
            <w:pPr>
              <w:pStyle w:val="Compact"/>
            </w:pPr>
            <w:r>
              <w:t xml:space="preserve">EU Global Gateway; Inter-American Development Bank; World Bank</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Data &amp; Governance</w:t>
            </w:r>
          </w:p>
        </w:tc>
        <w:tc>
          <w:tcPr/>
          <w:p>
            <w:pPr>
              <w:pStyle w:val="Compact"/>
            </w:pPr>
            <w:r>
              <w:t xml:space="preserve">E-Governance; Digital Governance; Data Protection</w:t>
            </w:r>
          </w:p>
        </w:tc>
      </w:tr>
      <w:tr>
        <w:tc>
          <w:tcPr/>
          <w:p>
            <w:pPr>
              <w:pStyle w:val="Compact"/>
            </w:pPr>
            <w:r>
              <w:t xml:space="preserve">Regional &amp; International Cooperation</w:t>
            </w:r>
          </w:p>
        </w:tc>
        <w:tc>
          <w:tcPr/>
          <w:p>
            <w:pPr>
              <w:pStyle w:val="Compact"/>
            </w:pPr>
            <w:r>
              <w:t xml:space="preserve">EU-LAC Digital Alliance; Bi-regional Cooperation; Global Digital Cooperation</w:t>
            </w:r>
          </w:p>
        </w:tc>
      </w:tr>
      <w:tr>
        <w:tc>
          <w:tcPr/>
          <w:p>
            <w:pPr>
              <w:pStyle w:val="Compact"/>
            </w:pPr>
            <w:r>
              <w:t xml:space="preserve">Inclusion &amp; Social Development</w:t>
            </w:r>
          </w:p>
        </w:tc>
        <w:tc>
          <w:tcPr/>
          <w:p>
            <w:pPr>
              <w:pStyle w:val="Compact"/>
            </w:pPr>
            <w:r>
              <w:t xml:space="preserve">Digital Inclusion; Gender Equality in Tech</w:t>
            </w:r>
          </w:p>
        </w:tc>
      </w:tr>
    </w:tbl>
    <w:bookmarkEnd w:id="23"/>
    <w:bookmarkStart w:id="24" w:name="practical-applications"/>
    <w:p>
      <w:pPr>
        <w:pStyle w:val="Heading2"/>
      </w:pPr>
      <w:r>
        <w:t xml:space="preserve">Practical Applications</w:t>
      </w:r>
    </w:p>
    <w:p>
      <w:pPr>
        <w:pStyle w:val="Compact"/>
        <w:numPr>
          <w:ilvl w:val="0"/>
          <w:numId w:val="1002"/>
        </w:numPr>
      </w:pPr>
      <w:r>
        <w:t xml:space="preserve">The EU-LAC Digital Alliance is implementing a roadmap for bi-regional cooperation on eGovernance, which includes an action plan for increasing interoperability among digital public services in LAC countries and the EU.</w:t>
      </w:r>
    </w:p>
    <w:p>
      <w:pPr>
        <w:pStyle w:val="Compact"/>
        <w:numPr>
          <w:ilvl w:val="0"/>
          <w:numId w:val="1002"/>
        </w:numPr>
      </w:pPr>
      <w:r>
        <w:t xml:space="preserve">The Central American Digital Trade Platform is operational, facilitating cross-border interactions with government authorities and simplifying trade for users from six Central American countries, benefiting over 10,000 exporting companies.</w:t>
      </w:r>
    </w:p>
    <w:p>
      <w:pPr>
        <w:pStyle w:val="Compact"/>
        <w:numPr>
          <w:ilvl w:val="0"/>
          <w:numId w:val="1002"/>
        </w:numPr>
      </w:pPr>
      <w:r>
        <w:t xml:space="preserve">The EU Global Gateway has provided EUR 8 million for the design and implementation of the Central American Digital Trade Platform, with a second phase of funding amounting to EUR 5 million aimed at boosting cybersecurity and enhancing platform functionalities.</w:t>
      </w:r>
    </w:p>
    <w:p>
      <w:pPr>
        <w:pStyle w:val="Compact"/>
        <w:numPr>
          <w:ilvl w:val="0"/>
          <w:numId w:val="1002"/>
        </w:numPr>
      </w:pPr>
      <w:r>
        <w:t xml:space="preserve">An agreement has been signed between the EU and the government of El Salvador for the project</w:t>
      </w:r>
      <w:r>
        <w:t xml:space="preserve"> </w:t>
      </w:r>
      <w:r>
        <w:t xml:space="preserve">“Strengthening the Digital Civil Register System of El Salvador,”</w:t>
      </w:r>
      <w:r>
        <w:t xml:space="preserve"> </w:t>
      </w:r>
      <w:r>
        <w:t xml:space="preserve">aimed at updating and automating the birth and death registration system.</w:t>
      </w:r>
    </w:p>
    <w:p>
      <w:pPr>
        <w:pStyle w:val="Compact"/>
        <w:numPr>
          <w:ilvl w:val="0"/>
          <w:numId w:val="1002"/>
        </w:numPr>
      </w:pPr>
      <w:r>
        <w:t xml:space="preserve">The GovStack initiative, supported by Germany, Estonia, ITU, and DIAL, has launched a cohort for women in GovTech in LAC, focusing on developing skills for citizen-centric digital government services.</w:t>
      </w:r>
    </w:p>
    <w:p>
      <w:pPr>
        <w:pStyle w:val="Compact"/>
        <w:numPr>
          <w:ilvl w:val="0"/>
          <w:numId w:val="1002"/>
        </w:numPr>
      </w:pPr>
      <w:r>
        <w:t xml:space="preserve">A Joint Declaration was issued by participating countries during the EU-CELAC Summit in July 2023, committing to regular bi-regional dialogue and cooperation on digital matters.</w:t>
      </w:r>
    </w:p>
    <w:bookmarkEnd w:id="24"/>
    <w:bookmarkStart w:id="25" w:name="commitments"/>
    <w:p>
      <w:pPr>
        <w:pStyle w:val="Heading2"/>
      </w:pPr>
      <w:r>
        <w:t xml:space="preserve">Commitments</w:t>
      </w:r>
    </w:p>
    <w:p>
      <w:pPr>
        <w:pStyle w:val="Compact"/>
        <w:numPr>
          <w:ilvl w:val="0"/>
          <w:numId w:val="1003"/>
        </w:numPr>
      </w:pPr>
      <w:r>
        <w:t xml:space="preserve">The EU Global Gateway contributed EUR 8 million for the design and implementation of the Central American Digital Trade Platform in 2023.</w:t>
      </w:r>
    </w:p>
    <w:p>
      <w:pPr>
        <w:pStyle w:val="Compact"/>
        <w:numPr>
          <w:ilvl w:val="0"/>
          <w:numId w:val="1003"/>
        </w:numPr>
      </w:pPr>
      <w:r>
        <w:t xml:space="preserve">The second phase of the Central American Digital Trade Platform project will have an overall funding of EUR 5 million to boost cybersecurity and strengthen the platform’s functionalities.</w:t>
      </w:r>
    </w:p>
    <w:p>
      <w:pPr>
        <w:pStyle w:val="Compact"/>
        <w:numPr>
          <w:ilvl w:val="0"/>
          <w:numId w:val="1003"/>
        </w:numPr>
      </w:pPr>
      <w:r>
        <w:t xml:space="preserve">The Central American Digital Trade Platform is estimated to reduce trade costs by 3.2%.</w:t>
      </w:r>
    </w:p>
    <w:p>
      <w:pPr>
        <w:pStyle w:val="Compact"/>
        <w:numPr>
          <w:ilvl w:val="0"/>
          <w:numId w:val="1003"/>
        </w:numPr>
      </w:pPr>
      <w:r>
        <w:t xml:space="preserve">The EU has signed an agreement with the government of El Salvador for the implementation of the project</w:t>
      </w:r>
      <w:r>
        <w:t xml:space="preserve"> </w:t>
      </w:r>
      <w:r>
        <w:t xml:space="preserve">“Strengthening the Digital Civil Register System of El Salvador,”</w:t>
      </w:r>
      <w:r>
        <w:t xml:space="preserve"> </w:t>
      </w:r>
      <w:r>
        <w:t xml:space="preserve">which aims to fully automate and make the birth and death registration system interoperable.</w:t>
      </w:r>
    </w:p>
    <w:p>
      <w:pPr>
        <w:pStyle w:val="Compact"/>
        <w:numPr>
          <w:ilvl w:val="0"/>
          <w:numId w:val="1003"/>
        </w:numPr>
      </w:pPr>
      <w:r>
        <w:t xml:space="preserve">A roadmap for bi-regional cooperation on eGovernance is to be co-developed ahead of the 2025 EU-CELAC Summit.</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2025-06-03T17:37:03Z</dcterms:created>
  <dcterms:modified xsi:type="dcterms:W3CDTF">2025-06-03T17:37:03Z</dcterms:modified>
</cp:coreProperties>
</file>

<file path=docProps/custom.xml><?xml version="1.0" encoding="utf-8"?>
<Properties xmlns="http://schemas.openxmlformats.org/officeDocument/2006/custom-properties" xmlns:vt="http://schemas.openxmlformats.org/officeDocument/2006/docPropsVTypes"/>
</file>