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71fdca59e589e27523ae78ca0fb5abfff10e65e"/>
    <w:p>
      <w:pPr>
        <w:pStyle w:val="Heading1"/>
      </w:pPr>
      <w:r>
        <w:t xml:space="preserve">EU-LAC High-Level Event on Human Development and Health 2024 Summary Report</w:t>
      </w:r>
    </w:p>
    <w:p>
      <w:pPr>
        <w:pStyle w:val="FirstParagraph"/>
      </w:pPr>
      <w:r>
        <w:rPr>
          <w:b/>
          <w:bCs/>
        </w:rPr>
        <w:t xml:space="preserve">Date</w:t>
      </w:r>
      <w:r>
        <w:t xml:space="preserve">: 2024-03-21</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The EU-LAC High-Level Event on Human Development and Health, held in Brussels on March 21-22, 2024, aimed to enhance collaboration between the European Union and Latin America and the Caribbean (LAC) on inclusive human development and equitable health access. Key discussions focused on ensuring universal access to affordable medicines and developing inclusive social policies to combat poverty and inequality. The event launched the Team Europe Initiative</w:t>
      </w:r>
      <w:r>
        <w:t xml:space="preserve"> </w:t>
      </w:r>
      <w:r>
        <w:t xml:space="preserve">“Inclusive and Equitable Societies in LAC”</w:t>
      </w:r>
      <w:r>
        <w:t xml:space="preserve"> </w:t>
      </w:r>
      <w:r>
        <w:t xml:space="preserve">and featured high-level representatives, including PAHO officials and health authorities. The EU committed EUR268 million to support basic social services in LAC, with a goal of mobilizing up to EUR1 billion. Additionally, a training program for regulatory capacity building was introduced, aligning with the EU’s Global Gateway Investment Agenda targeting EUR45 billion for LAC by 2027.</w:t>
      </w:r>
    </w:p>
    <w:bookmarkEnd w:id="20"/>
    <w:bookmarkStart w:id="21" w:name="characteristics"/>
    <w:p>
      <w:pPr>
        <w:pStyle w:val="Heading2"/>
      </w:pPr>
      <w:r>
        <w:t xml:space="preserve">Characteristics</w:t>
      </w:r>
    </w:p>
    <w:p>
      <w:pPr>
        <w:pStyle w:val="Compact"/>
        <w:numPr>
          <w:ilvl w:val="0"/>
          <w:numId w:val="1001"/>
        </w:numPr>
      </w:pPr>
      <w:r>
        <w:rPr>
          <w:b/>
          <w:bCs/>
        </w:rPr>
        <w:t xml:space="preserve">Objectives</w:t>
      </w:r>
      <w:r>
        <w:t xml:space="preserve">: Strengthened EU-LAC collaboration on inclusive human development and equitable health access, focusing on high-level exchanges and social policy dialogues.</w:t>
      </w:r>
    </w:p>
    <w:p>
      <w:pPr>
        <w:pStyle w:val="Compact"/>
        <w:numPr>
          <w:ilvl w:val="0"/>
          <w:numId w:val="1001"/>
        </w:numPr>
      </w:pPr>
      <w:r>
        <w:rPr>
          <w:b/>
          <w:bCs/>
        </w:rPr>
        <w:t xml:space="preserve">Key Topics</w:t>
      </w:r>
      <w:r>
        <w:t xml:space="preserve">: Emphasized universal access to health products, inclusive social policies addressing poverty and inequality, and the launch of the Team Europe Initiative.</w:t>
      </w:r>
    </w:p>
    <w:p>
      <w:pPr>
        <w:pStyle w:val="Compact"/>
        <w:numPr>
          <w:ilvl w:val="0"/>
          <w:numId w:val="1001"/>
        </w:numPr>
      </w:pPr>
      <w:r>
        <w:rPr>
          <w:b/>
          <w:bCs/>
        </w:rPr>
        <w:t xml:space="preserve">Funding Commitment</w:t>
      </w:r>
      <w:r>
        <w:t xml:space="preserve">: The EU pledged EUR268 million to enhance access to social services in LAC, with a goal of mobilizing up to EUR1 billion.</w:t>
      </w:r>
    </w:p>
    <w:p>
      <w:pPr>
        <w:pStyle w:val="Compact"/>
        <w:numPr>
          <w:ilvl w:val="0"/>
          <w:numId w:val="1001"/>
        </w:numPr>
      </w:pPr>
      <w:r>
        <w:rPr>
          <w:b/>
          <w:bCs/>
        </w:rPr>
        <w:t xml:space="preserve">Training Initiatives</w:t>
      </w:r>
      <w:r>
        <w:t xml:space="preserve">: Introduction of the</w:t>
      </w:r>
      <w:r>
        <w:t xml:space="preserve"> </w:t>
      </w:r>
      <w:r>
        <w:t xml:space="preserve">‘Regulators of the Americas Learning Pathway’</w:t>
      </w:r>
      <w:r>
        <w:t xml:space="preserve"> </w:t>
      </w:r>
      <w:r>
        <w:t xml:space="preserve">to build regulatory capacity.</w:t>
      </w:r>
    </w:p>
    <w:p>
      <w:pPr>
        <w:pStyle w:val="Compact"/>
        <w:numPr>
          <w:ilvl w:val="0"/>
          <w:numId w:val="1001"/>
        </w:numPr>
      </w:pPr>
      <w:r>
        <w:rPr>
          <w:b/>
          <w:bCs/>
        </w:rPr>
        <w:t xml:space="preserve">Global Gateway Alignment</w:t>
      </w:r>
      <w:r>
        <w:t xml:space="preserve">: The event supported the EU’s Global Gateway Investment Agenda, aiming for EUR45 billion mobilization for LAC by 2027.</w:t>
      </w:r>
    </w:p>
    <w:bookmarkEnd w:id="21"/>
    <w:bookmarkStart w:id="22" w:name="actors"/>
    <w:p>
      <w:pPr>
        <w:pStyle w:val="Heading2"/>
      </w:pPr>
      <w:r>
        <w:t xml:space="preserve">Actors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EU Commission; PAHO</w:t>
            </w:r>
          </w:p>
        </w:tc>
      </w:tr>
      <w:tr>
        <w:tc>
          <w:tcPr/>
          <w:p>
            <w:pPr>
              <w:pStyle w:val="Compact"/>
            </w:pPr>
            <w:r>
              <w:t xml:space="preserve">Economic Actors</w:t>
            </w:r>
          </w:p>
        </w:tc>
        <w:tc>
          <w:tcPr/>
          <w:p>
            <w:pPr>
              <w:pStyle w:val="Compact"/>
            </w:pPr>
            <w:r>
              <w:t xml:space="preserve">Inter-American Development Bank; World Bank</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Inclusion &amp; Social Development</w:t>
            </w:r>
          </w:p>
        </w:tc>
        <w:tc>
          <w:tcPr/>
          <w:p>
            <w:pPr>
              <w:pStyle w:val="Compact"/>
            </w:pPr>
            <w:r>
              <w:t xml:space="preserve">Digital Inclusion; Social Cohesion; Gender Equality in Tech; Digital Education</w:t>
            </w:r>
          </w:p>
        </w:tc>
      </w:tr>
      <w:tr>
        <w:tc>
          <w:tcPr/>
          <w:p>
            <w:pPr>
              <w:pStyle w:val="Compact"/>
            </w:pPr>
            <w:r>
              <w:t xml:space="preserve">Regional &amp; International Cooperation</w:t>
            </w:r>
          </w:p>
        </w:tc>
        <w:tc>
          <w:tcPr/>
          <w:p>
            <w:pPr>
              <w:pStyle w:val="Compact"/>
            </w:pPr>
            <w:r>
              <w:t xml:space="preserve">EU-LAC Digital Alliance; Bi-regional Cooperation; Global Digital Cooperation; Digital &amp; Technological Partnerships</w:t>
            </w:r>
          </w:p>
        </w:tc>
      </w:tr>
    </w:tbl>
    <w:bookmarkEnd w:id="23"/>
    <w:bookmarkStart w:id="24" w:name="practical-applications"/>
    <w:p>
      <w:pPr>
        <w:pStyle w:val="Heading2"/>
      </w:pPr>
      <w:r>
        <w:t xml:space="preserve">Practical Applications</w:t>
      </w:r>
    </w:p>
    <w:p>
      <w:pPr>
        <w:pStyle w:val="Compact"/>
        <w:numPr>
          <w:ilvl w:val="0"/>
          <w:numId w:val="1002"/>
        </w:numPr>
      </w:pPr>
      <w:r>
        <w:t xml:space="preserve">Launch of the Team Europe Initiative</w:t>
      </w:r>
      <w:r>
        <w:t xml:space="preserve"> </w:t>
      </w:r>
      <w:r>
        <w:t xml:space="preserve">“Inclusive and Equitable Societies in LAC”</w:t>
      </w:r>
      <w:r>
        <w:t xml:space="preserve"> </w:t>
      </w:r>
      <w:r>
        <w:t xml:space="preserve">aimed at promoting inclusive social development aligned with the Sustainable Development Goals (SDGs).</w:t>
      </w:r>
    </w:p>
    <w:p>
      <w:pPr>
        <w:pStyle w:val="Compact"/>
        <w:numPr>
          <w:ilvl w:val="0"/>
          <w:numId w:val="1002"/>
        </w:numPr>
      </w:pPr>
      <w:r>
        <w:t xml:space="preserve">Announcement of EUR268 million funding by the EU to support access to basic social services and rights in Latin America and the Caribbean (LAC), with a goal to mobilize up to EUR1 billion in investments.</w:t>
      </w:r>
    </w:p>
    <w:p>
      <w:pPr>
        <w:pStyle w:val="Compact"/>
        <w:numPr>
          <w:ilvl w:val="0"/>
          <w:numId w:val="1002"/>
        </w:numPr>
      </w:pPr>
      <w:r>
        <w:t xml:space="preserve">Implementation of the</w:t>
      </w:r>
      <w:r>
        <w:t xml:space="preserve"> </w:t>
      </w:r>
      <w:r>
        <w:t xml:space="preserve">‘Regulators of the Americas Learning Pathway’</w:t>
      </w:r>
      <w:r>
        <w:t xml:space="preserve"> </w:t>
      </w:r>
      <w:r>
        <w:t xml:space="preserve">training program to enhance regulatory capacity in the region.</w:t>
      </w:r>
    </w:p>
    <w:p>
      <w:pPr>
        <w:pStyle w:val="Compact"/>
        <w:numPr>
          <w:ilvl w:val="0"/>
          <w:numId w:val="1002"/>
        </w:numPr>
      </w:pPr>
      <w:r>
        <w:t xml:space="preserve">Alignment of the event with the EU’s Global Gateway Investment Agenda, which targets mobilization of EUR45 billion for LAC by 2027.</w:t>
      </w:r>
    </w:p>
    <w:bookmarkEnd w:id="24"/>
    <w:bookmarkStart w:id="25" w:name="commitments"/>
    <w:p>
      <w:pPr>
        <w:pStyle w:val="Heading2"/>
      </w:pPr>
      <w:r>
        <w:t xml:space="preserve">Commitments</w:t>
      </w:r>
    </w:p>
    <w:p>
      <w:pPr>
        <w:pStyle w:val="Compact"/>
        <w:numPr>
          <w:ilvl w:val="0"/>
          <w:numId w:val="1003"/>
        </w:numPr>
      </w:pPr>
      <w:r>
        <w:t xml:space="preserve">The EU announced EUR268 million (approx. $290 million) to support access to basic social services and rights in LAC, aiming to mobilize up to EUR1 billion in investments.</w:t>
      </w:r>
    </w:p>
    <w:p>
      <w:pPr>
        <w:pStyle w:val="Compact"/>
        <w:numPr>
          <w:ilvl w:val="0"/>
          <w:numId w:val="1003"/>
        </w:numPr>
      </w:pPr>
      <w:r>
        <w:t xml:space="preserve">The Global Gateway Investment Agenda targets EUR45 billion mobilization for LAC by 2027.</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2025-06-03T17:40:03Z</dcterms:created>
  <dcterms:modified xsi:type="dcterms:W3CDTF">2025-06-03T17:40:03Z</dcterms:modified>
</cp:coreProperties>
</file>

<file path=docProps/custom.xml><?xml version="1.0" encoding="utf-8"?>
<Properties xmlns="http://schemas.openxmlformats.org/officeDocument/2006/custom-properties" xmlns:vt="http://schemas.openxmlformats.org/officeDocument/2006/docPropsVTypes"/>
</file>