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b462d2c1dfbf7fe8c62ab7766b496f1b617b1c0"/>
    <w:p>
      <w:pPr>
        <w:pStyle w:val="Heading1"/>
      </w:pPr>
      <w:r>
        <w:t xml:space="preserve">“Follow-Up Actions and Proposals from the Conference on the Future of Europe”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2022-06-17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Brussels, Belgium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“Conference on the Future of Europe,”</w:t>
      </w:r>
      <w:r>
        <w:t xml:space="preserve"> </w:t>
      </w:r>
      <w:r>
        <w:t xml:space="preserve">initiated in May 2021, engaged citizens across the EU in a deliberative democracy exercise, culminating in 49 proposals and 326 specific measures addressing key issues such as climate change, health, and digital transformation. The European Commission’s follow-up communication outlines a commitment to implement these proposals, emphasizing the need for participative democracy in EU policymaking. It highlights the importance of citizen engagement through initiatives like Citizens’ Panels and a new online consultation platform. The Commission aims to enhance democratic resilience and public space, responding to rising authoritarianism. The follow-up process is a shared responsibility among EU institutions, with a focus on transparent communication to maintain citizen trust and momentum. A feedback event is planned for autumn 2022 to report on progress and ensure alignment with the Conference’s outcomes.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Compact"/>
        <w:numPr>
          <w:ilvl w:val="0"/>
          <w:numId w:val="1001"/>
        </w:numPr>
      </w:pPr>
      <w:r>
        <w:t xml:space="preserve">The Conference on the Future of Europe was a significant participatory democracy initiative, engaging citizens across Europe to discuss and propose solutions on various pressing issues.</w:t>
      </w:r>
    </w:p>
    <w:p>
      <w:pPr>
        <w:pStyle w:val="Compact"/>
        <w:numPr>
          <w:ilvl w:val="0"/>
          <w:numId w:val="1001"/>
        </w:numPr>
      </w:pPr>
      <w:r>
        <w:t xml:space="preserve">It resulted in 49 proposals and 326 specific measures across nine themes, including climate change, health, economy, and digital transformation.</w:t>
      </w:r>
    </w:p>
    <w:p>
      <w:pPr>
        <w:pStyle w:val="Compact"/>
        <w:numPr>
          <w:ilvl w:val="0"/>
          <w:numId w:val="1001"/>
        </w:numPr>
      </w:pPr>
      <w:r>
        <w:t xml:space="preserve">The initiative emphasized the importance of citizen involvement in shaping EU policies and aimed to create a more inclusive European public space.</w:t>
      </w:r>
    </w:p>
    <w:p>
      <w:pPr>
        <w:pStyle w:val="Compact"/>
        <w:numPr>
          <w:ilvl w:val="0"/>
          <w:numId w:val="1001"/>
        </w:numPr>
      </w:pPr>
      <w:r>
        <w:t xml:space="preserve">The European Commission committed to following up on the proposals, assessing their feasibility, and integrating them into future legislative actions.</w:t>
      </w:r>
    </w:p>
    <w:p>
      <w:pPr>
        <w:pStyle w:val="Compact"/>
        <w:numPr>
          <w:ilvl w:val="0"/>
          <w:numId w:val="1001"/>
        </w:numPr>
      </w:pPr>
      <w:r>
        <w:t xml:space="preserve">Innovations from the Conference, such as Citizens’ Panels and a multilingual digital platform, aimed to enhance democratic engagement and ensure diverse citizen representation.</w:t>
      </w:r>
    </w:p>
    <w:p>
      <w:pPr>
        <w:pStyle w:val="Compact"/>
        <w:numPr>
          <w:ilvl w:val="0"/>
          <w:numId w:val="1001"/>
        </w:numPr>
      </w:pPr>
      <w:r>
        <w:t xml:space="preserve">The Conference highlighted the need for a stronger, more independent Europe capable of addressing contemporary challenges, while also considering potential treaty changes for future reforms.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Commission; European Parliament; European Council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Digital Transformation &amp; Strategy</w:t>
            </w:r>
          </w:p>
        </w:tc>
        <w:tc>
          <w:tcPr/>
          <w:p>
            <w:pPr>
              <w:pStyle w:val="Compact"/>
            </w:pPr>
            <w:r>
              <w:t xml:space="preserve">Digital Transformation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Inclusion &amp; Social Development</w:t>
            </w:r>
          </w:p>
        </w:tc>
        <w:tc>
          <w:tcPr/>
          <w:p>
            <w:pPr>
              <w:pStyle w:val="Compact"/>
            </w:pPr>
            <w:r>
              <w:t xml:space="preserve">Digital Inclusion; Digital Education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Alliance; Global Digital Cooperation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Compact"/>
        <w:numPr>
          <w:ilvl w:val="0"/>
          <w:numId w:val="1002"/>
        </w:numPr>
      </w:pPr>
      <w:r>
        <w:t xml:space="preserve">Implementation of the European Climate Law to enshrine EU climate targets into law.</w:t>
      </w:r>
    </w:p>
    <w:p>
      <w:pPr>
        <w:pStyle w:val="Compact"/>
        <w:numPr>
          <w:ilvl w:val="0"/>
          <w:numId w:val="1002"/>
        </w:numPr>
      </w:pPr>
      <w:r>
        <w:t xml:space="preserve">Establishment of the Health Emergency Preparedness and Response Authority (HERA) to better prepare for cross-border health threats.</w:t>
      </w:r>
    </w:p>
    <w:p>
      <w:pPr>
        <w:pStyle w:val="Compact"/>
        <w:numPr>
          <w:ilvl w:val="0"/>
          <w:numId w:val="1002"/>
        </w:numPr>
      </w:pPr>
      <w:r>
        <w:t xml:space="preserve">Adoption of the Digital Services Act to ensure a safe online environment.</w:t>
      </w:r>
    </w:p>
    <w:p>
      <w:pPr>
        <w:pStyle w:val="Compact"/>
        <w:numPr>
          <w:ilvl w:val="0"/>
          <w:numId w:val="1002"/>
        </w:numPr>
      </w:pPr>
      <w:r>
        <w:t xml:space="preserve">Initiatives to strengthen Europe’s international partnerships through the Global Gateway strategy.</w:t>
      </w:r>
    </w:p>
    <w:p>
      <w:pPr>
        <w:pStyle w:val="Compact"/>
        <w:numPr>
          <w:ilvl w:val="0"/>
          <w:numId w:val="1002"/>
        </w:numPr>
      </w:pPr>
      <w:r>
        <w:t xml:space="preserve">Launch of the European Citizens’ Panels, involving randomly selected citizens to deliberate and make recommendations on key proposals.</w:t>
      </w:r>
    </w:p>
    <w:p>
      <w:pPr>
        <w:pStyle w:val="Compact"/>
        <w:numPr>
          <w:ilvl w:val="0"/>
          <w:numId w:val="1002"/>
        </w:numPr>
      </w:pPr>
      <w:r>
        <w:t xml:space="preserve">Development of the Have Your Say portal as a one-stop-shop for online citizen engagement, integrating features from the Conference’s multilingual digital platform.</w:t>
      </w:r>
    </w:p>
    <w:p>
      <w:pPr>
        <w:pStyle w:val="Compact"/>
        <w:numPr>
          <w:ilvl w:val="0"/>
          <w:numId w:val="1002"/>
        </w:numPr>
      </w:pPr>
      <w:r>
        <w:t xml:space="preserve">Proposals under the European Democracy Action Plan to strengthen European political parties and protect election integrity.</w:t>
      </w:r>
    </w:p>
    <w:p>
      <w:pPr>
        <w:pStyle w:val="Compact"/>
        <w:numPr>
          <w:ilvl w:val="0"/>
          <w:numId w:val="1002"/>
        </w:numPr>
      </w:pPr>
      <w:r>
        <w:t xml:space="preserve">Support for the European Parliament in reforming EU electoral law, including proposals for transnational lists in European elections.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2025-06-03T18:14:28Z</dcterms:created>
  <dcterms:modified xsi:type="dcterms:W3CDTF">2025-06-03T18:14:28Z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