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372" w:rsidRDefault="00F63372">
      <w:pPr>
        <w:pStyle w:val="Textbody"/>
        <w:rPr>
          <w:rFonts w:ascii="Albany AMT" w:hAnsi="Albany AMT"/>
        </w:rPr>
      </w:pPr>
      <w:bookmarkStart w:id="0" w:name="_GoBack"/>
      <w:bookmarkEnd w:id="0"/>
    </w:p>
    <w:p w:rsidR="00F63372" w:rsidRDefault="00F651C8">
      <w:pPr>
        <w:pStyle w:val="Textbody"/>
        <w:rPr>
          <w:rFonts w:ascii="Albany AMT" w:hAnsi="Albany AMT"/>
        </w:rPr>
      </w:pPr>
      <w:r>
        <w:rPr>
          <w:rFonts w:ascii="Albany AMT" w:hAnsi="Albany AMT"/>
          <w:noProof/>
        </w:rPr>
        <w:drawing>
          <wp:anchor distT="0" distB="0" distL="114300" distR="114300" simplePos="0" relativeHeight="251658240" behindDoc="0" locked="0" layoutInCell="1" allowOverlap="1">
            <wp:simplePos x="0" y="0"/>
            <wp:positionH relativeFrom="column">
              <wp:posOffset>391680</wp:posOffset>
            </wp:positionH>
            <wp:positionV relativeFrom="paragraph">
              <wp:posOffset>66600</wp:posOffset>
            </wp:positionV>
            <wp:extent cx="855359" cy="793080"/>
            <wp:effectExtent l="0" t="0" r="1891" b="702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55359" cy="793080"/>
                    </a:xfrm>
                    <a:prstGeom prst="rect">
                      <a:avLst/>
                    </a:prstGeom>
                  </pic:spPr>
                </pic:pic>
              </a:graphicData>
            </a:graphic>
          </wp:anchor>
        </w:drawing>
      </w:r>
    </w:p>
    <w:tbl>
      <w:tblPr>
        <w:tblW w:w="9360" w:type="dxa"/>
        <w:tblInd w:w="45" w:type="dxa"/>
        <w:tblLayout w:type="fixed"/>
        <w:tblCellMar>
          <w:left w:w="10" w:type="dxa"/>
          <w:right w:w="10" w:type="dxa"/>
        </w:tblCellMar>
        <w:tblLook w:val="0000" w:firstRow="0" w:lastRow="0" w:firstColumn="0" w:lastColumn="0" w:noHBand="0" w:noVBand="0"/>
      </w:tblPr>
      <w:tblGrid>
        <w:gridCol w:w="6626"/>
        <w:gridCol w:w="2734"/>
      </w:tblGrid>
      <w:tr w:rsidR="00F63372">
        <w:tblPrEx>
          <w:tblCellMar>
            <w:top w:w="0" w:type="dxa"/>
            <w:bottom w:w="0" w:type="dxa"/>
          </w:tblCellMar>
        </w:tblPrEx>
        <w:trPr>
          <w:tblHeader/>
        </w:trPr>
        <w:tc>
          <w:tcPr>
            <w:tcW w:w="6626" w:type="dxa"/>
            <w:tcMar>
              <w:top w:w="55" w:type="dxa"/>
              <w:left w:w="55" w:type="dxa"/>
              <w:bottom w:w="55" w:type="dxa"/>
              <w:right w:w="55" w:type="dxa"/>
            </w:tcMar>
          </w:tcPr>
          <w:p w:rsidR="00F63372" w:rsidRDefault="00F651C8">
            <w:pPr>
              <w:pStyle w:val="Addressee"/>
              <w:rPr>
                <w:rFonts w:ascii="Albany AMT" w:hAnsi="Albany AMT"/>
              </w:rPr>
            </w:pPr>
            <w:r>
              <w:rPr>
                <w:rFonts w:ascii="Albany AMT" w:hAnsi="Albany AMT"/>
              </w:rPr>
              <w:t xml:space="preserve">Lee </w:t>
            </w:r>
            <w:proofErr w:type="spellStart"/>
            <w:r>
              <w:rPr>
                <w:rFonts w:ascii="Albany AMT" w:hAnsi="Albany AMT"/>
              </w:rPr>
              <w:t>Sichello</w:t>
            </w:r>
            <w:proofErr w:type="spellEnd"/>
          </w:p>
          <w:p w:rsidR="00F63372" w:rsidRDefault="00F651C8">
            <w:pPr>
              <w:pStyle w:val="Addressee"/>
              <w:rPr>
                <w:rFonts w:ascii="Albany AMT" w:hAnsi="Albany AMT"/>
              </w:rPr>
            </w:pPr>
            <w:r>
              <w:rPr>
                <w:rFonts w:ascii="Albany AMT" w:hAnsi="Albany AMT"/>
              </w:rPr>
              <w:t>Thunder-Clap Electronics</w:t>
            </w:r>
          </w:p>
          <w:p w:rsidR="00F63372" w:rsidRDefault="00F651C8">
            <w:pPr>
              <w:pStyle w:val="Addressee"/>
              <w:rPr>
                <w:rFonts w:ascii="Albany AMT" w:hAnsi="Albany AMT"/>
              </w:rPr>
            </w:pPr>
            <w:r>
              <w:rPr>
                <w:rFonts w:ascii="Albany AMT" w:hAnsi="Albany AMT"/>
              </w:rPr>
              <w:t>1234 Any St. Suite #15</w:t>
            </w:r>
          </w:p>
          <w:p w:rsidR="00F63372" w:rsidRDefault="00F651C8">
            <w:pPr>
              <w:pStyle w:val="Addressee"/>
              <w:rPr>
                <w:rFonts w:ascii="Albany AMT" w:hAnsi="Albany AMT"/>
              </w:rPr>
            </w:pPr>
            <w:r>
              <w:rPr>
                <w:rFonts w:ascii="Albany AMT" w:hAnsi="Albany AMT"/>
              </w:rPr>
              <w:t>Townsville, SK</w:t>
            </w:r>
            <w:r>
              <w:rPr>
                <w:rFonts w:ascii="Albany AMT" w:hAnsi="Albany AMT"/>
              </w:rPr>
              <w:t xml:space="preserve"> S4S5B9</w:t>
            </w:r>
          </w:p>
        </w:tc>
        <w:tc>
          <w:tcPr>
            <w:tcW w:w="2734" w:type="dxa"/>
            <w:tcMar>
              <w:top w:w="55" w:type="dxa"/>
              <w:left w:w="55" w:type="dxa"/>
              <w:bottom w:w="55" w:type="dxa"/>
              <w:right w:w="55" w:type="dxa"/>
            </w:tcMar>
          </w:tcPr>
          <w:p w:rsidR="00F63372" w:rsidRDefault="00F651C8">
            <w:pPr>
              <w:pStyle w:val="Sender"/>
              <w:rPr>
                <w:rFonts w:ascii="Albany AMT" w:hAnsi="Albany AMT"/>
              </w:rPr>
            </w:pPr>
            <w:r>
              <w:rPr>
                <w:rFonts w:ascii="Albany AMT" w:hAnsi="Albany AMT"/>
              </w:rPr>
              <w:t>Tel: 306-529-7777</w:t>
            </w:r>
          </w:p>
          <w:p w:rsidR="00F63372" w:rsidRDefault="00F651C8">
            <w:pPr>
              <w:pStyle w:val="Sender"/>
              <w:rPr>
                <w:rFonts w:ascii="Albany AMT" w:hAnsi="Albany AMT"/>
              </w:rPr>
            </w:pPr>
            <w:r>
              <w:rPr>
                <w:rFonts w:ascii="Albany AMT" w:hAnsi="Albany AMT"/>
              </w:rPr>
              <w:t>Fax: 306-555-1234</w:t>
            </w:r>
          </w:p>
          <w:p w:rsidR="00F63372" w:rsidRDefault="00F651C8">
            <w:pPr>
              <w:pStyle w:val="Sender"/>
              <w:rPr>
                <w:rFonts w:ascii="Albany AMT" w:hAnsi="Albany AMT"/>
              </w:rPr>
            </w:pPr>
            <w:r>
              <w:rPr>
                <w:rFonts w:ascii="Albany AMT" w:hAnsi="Albany AMT"/>
              </w:rPr>
              <w:t>thunder_clap@electronics.ca</w:t>
            </w:r>
          </w:p>
        </w:tc>
      </w:tr>
    </w:tbl>
    <w:p w:rsidR="00F63372" w:rsidRDefault="00F63372">
      <w:pPr>
        <w:pStyle w:val="Textbody"/>
        <w:jc w:val="right"/>
        <w:rPr>
          <w:rFonts w:ascii="Albany AMT" w:hAnsi="Albany AMT"/>
        </w:rPr>
      </w:pPr>
    </w:p>
    <w:p w:rsidR="00F63372" w:rsidRDefault="00F63372">
      <w:pPr>
        <w:pStyle w:val="Textbody"/>
        <w:jc w:val="right"/>
        <w:rPr>
          <w:rFonts w:ascii="Courier" w:hAnsi="Courier"/>
          <w:sz w:val="26"/>
          <w:szCs w:val="26"/>
        </w:rPr>
      </w:pPr>
    </w:p>
    <w:p w:rsidR="00F63372" w:rsidRDefault="00F63372">
      <w:pPr>
        <w:pStyle w:val="Textbody"/>
        <w:jc w:val="right"/>
        <w:rPr>
          <w:rFonts w:ascii="Courier" w:hAnsi="Courier"/>
          <w:sz w:val="26"/>
          <w:szCs w:val="26"/>
        </w:rPr>
      </w:pPr>
    </w:p>
    <w:p w:rsidR="00F63372" w:rsidRDefault="00F63372">
      <w:pPr>
        <w:pStyle w:val="Standard"/>
        <w:rPr>
          <w:rFonts w:ascii="ITC Bookman" w:hAnsi="ITC Bookman"/>
          <w:sz w:val="26"/>
          <w:szCs w:val="26"/>
        </w:rPr>
      </w:pPr>
    </w:p>
    <w:p w:rsidR="00F63372" w:rsidRDefault="00F63372">
      <w:pPr>
        <w:pStyle w:val="Standard"/>
        <w:spacing w:after="198"/>
        <w:rPr>
          <w:rFonts w:ascii="ITC Bookman" w:hAnsi="ITC Bookman"/>
          <w:sz w:val="26"/>
          <w:szCs w:val="26"/>
        </w:rPr>
      </w:pPr>
    </w:p>
    <w:p w:rsidR="00F63372" w:rsidRDefault="00F63372">
      <w:pPr>
        <w:pStyle w:val="Textbody"/>
        <w:rPr>
          <w:rFonts w:ascii="ITC Bookman" w:hAnsi="ITC Bookman"/>
          <w:sz w:val="26"/>
          <w:szCs w:val="26"/>
        </w:rPr>
      </w:pPr>
    </w:p>
    <w:p w:rsidR="00F63372" w:rsidRDefault="00F651C8">
      <w:pPr>
        <w:pStyle w:val="Textbody"/>
        <w:rPr>
          <w:rFonts w:ascii="ITC Bookman" w:hAnsi="ITC Bookman"/>
          <w:b/>
          <w:bCs/>
          <w:sz w:val="26"/>
          <w:szCs w:val="26"/>
        </w:rPr>
      </w:pPr>
      <w:r>
        <w:rPr>
          <w:rFonts w:ascii="ITC Bookman" w:hAnsi="ITC Bookman"/>
          <w:b/>
          <w:bCs/>
          <w:sz w:val="26"/>
          <w:szCs w:val="26"/>
        </w:rPr>
        <w:t xml:space="preserve">Prepared for: </w:t>
      </w:r>
      <w:r>
        <w:rPr>
          <w:rFonts w:ascii="ITC Bookman" w:hAnsi="ITC Bookman"/>
          <w:b/>
          <w:bCs/>
          <w:sz w:val="26"/>
          <w:szCs w:val="26"/>
        </w:rPr>
        <w:tab/>
        <w:t>Eddy McDonald</w:t>
      </w:r>
    </w:p>
    <w:p w:rsidR="00F63372" w:rsidRDefault="00F651C8">
      <w:pPr>
        <w:pStyle w:val="Textbody"/>
        <w:rPr>
          <w:rFonts w:ascii="ITC Bookman" w:hAnsi="ITC Bookman"/>
          <w:b/>
          <w:bCs/>
          <w:sz w:val="26"/>
          <w:szCs w:val="26"/>
        </w:rPr>
      </w:pPr>
      <w:r>
        <w:rPr>
          <w:rFonts w:ascii="ITC Bookman" w:hAnsi="ITC Bookman"/>
          <w:b/>
          <w:bCs/>
          <w:sz w:val="26"/>
          <w:szCs w:val="26"/>
        </w:rPr>
        <w:tab/>
      </w:r>
      <w:r>
        <w:rPr>
          <w:rFonts w:ascii="ITC Bookman" w:hAnsi="ITC Bookman"/>
          <w:b/>
          <w:bCs/>
          <w:sz w:val="26"/>
          <w:szCs w:val="26"/>
        </w:rPr>
        <w:tab/>
      </w:r>
      <w:r>
        <w:rPr>
          <w:rFonts w:ascii="ITC Bookman" w:hAnsi="ITC Bookman"/>
          <w:sz w:val="26"/>
          <w:szCs w:val="26"/>
        </w:rPr>
        <w:t>45 Nowhere Street, Regina, SK S4S0H3</w:t>
      </w:r>
    </w:p>
    <w:p w:rsidR="00F63372" w:rsidRDefault="00F651C8">
      <w:pPr>
        <w:pStyle w:val="Textbody"/>
        <w:rPr>
          <w:rFonts w:ascii="ITC Bookman" w:hAnsi="ITC Bookman"/>
          <w:b/>
          <w:bCs/>
          <w:sz w:val="26"/>
          <w:szCs w:val="26"/>
        </w:rPr>
      </w:pPr>
      <w:r>
        <w:rPr>
          <w:rFonts w:ascii="ITC Bookman" w:hAnsi="ITC Bookman"/>
          <w:sz w:val="26"/>
          <w:szCs w:val="26"/>
        </w:rPr>
        <w:tab/>
      </w:r>
      <w:r>
        <w:rPr>
          <w:rFonts w:ascii="ITC Bookman" w:hAnsi="ITC Bookman"/>
          <w:sz w:val="26"/>
          <w:szCs w:val="26"/>
        </w:rPr>
        <w:tab/>
      </w:r>
      <w:proofErr w:type="spellStart"/>
      <w:proofErr w:type="gramStart"/>
      <w:r>
        <w:rPr>
          <w:rFonts w:ascii="ITC Bookman" w:hAnsi="ITC Bookman"/>
          <w:sz w:val="26"/>
          <w:szCs w:val="26"/>
        </w:rPr>
        <w:t>tel</w:t>
      </w:r>
      <w:proofErr w:type="spellEnd"/>
      <w:proofErr w:type="gramEnd"/>
      <w:r>
        <w:rPr>
          <w:rFonts w:ascii="ITC Bookman" w:hAnsi="ITC Bookman"/>
          <w:sz w:val="26"/>
          <w:szCs w:val="26"/>
        </w:rPr>
        <w:t xml:space="preserve"> (306) 589 9876</w:t>
      </w:r>
    </w:p>
    <w:p w:rsidR="00F63372" w:rsidRDefault="00F651C8">
      <w:pPr>
        <w:pStyle w:val="Textbody"/>
        <w:rPr>
          <w:rFonts w:ascii="Albany AMT" w:hAnsi="Albany AMT"/>
          <w:b/>
          <w:bCs/>
        </w:rPr>
      </w:pPr>
      <w:r>
        <w:rPr>
          <w:rFonts w:ascii="ITC Bookman" w:hAnsi="ITC Bookman"/>
          <w:sz w:val="26"/>
          <w:szCs w:val="26"/>
        </w:rPr>
        <w:tab/>
      </w:r>
      <w:r>
        <w:rPr>
          <w:rFonts w:ascii="ITC Bookman" w:hAnsi="ITC Bookman"/>
          <w:sz w:val="26"/>
          <w:szCs w:val="26"/>
        </w:rPr>
        <w:tab/>
      </w:r>
      <w:hyperlink r:id="rId9" w:history="1">
        <w:r>
          <w:rPr>
            <w:rFonts w:ascii="ITC Bookman" w:hAnsi="ITC Bookman"/>
            <w:sz w:val="26"/>
            <w:szCs w:val="26"/>
          </w:rPr>
          <w:t>eddy@mcdonald.ca</w:t>
        </w:r>
      </w:hyperlink>
    </w:p>
    <w:p w:rsidR="00F63372" w:rsidRDefault="00F63372">
      <w:pPr>
        <w:pStyle w:val="Textbody"/>
        <w:rPr>
          <w:rFonts w:ascii="ITC Bookman" w:hAnsi="ITC Bookman"/>
          <w:b/>
          <w:bCs/>
          <w:sz w:val="26"/>
          <w:szCs w:val="26"/>
        </w:rPr>
      </w:pPr>
    </w:p>
    <w:p w:rsidR="00F63372" w:rsidRDefault="00F651C8">
      <w:pPr>
        <w:pStyle w:val="Textbody"/>
        <w:rPr>
          <w:rFonts w:ascii="ITC Bookman" w:hAnsi="ITC Bookman"/>
          <w:b/>
          <w:bCs/>
          <w:sz w:val="26"/>
          <w:szCs w:val="26"/>
        </w:rPr>
      </w:pPr>
      <w:r>
        <w:rPr>
          <w:rFonts w:ascii="ITC Bookman" w:hAnsi="ITC Bookman"/>
          <w:b/>
          <w:bCs/>
          <w:sz w:val="26"/>
          <w:szCs w:val="26"/>
        </w:rPr>
        <w:t>Prepared by:</w:t>
      </w:r>
      <w:r>
        <w:rPr>
          <w:rFonts w:ascii="ITC Bookman" w:hAnsi="ITC Bookman"/>
          <w:b/>
          <w:bCs/>
          <w:sz w:val="26"/>
          <w:szCs w:val="26"/>
        </w:rPr>
        <w:tab/>
        <w:t xml:space="preserve">Lee </w:t>
      </w:r>
      <w:proofErr w:type="spellStart"/>
      <w:r>
        <w:rPr>
          <w:rFonts w:ascii="ITC Bookman" w:hAnsi="ITC Bookman"/>
          <w:b/>
          <w:bCs/>
          <w:sz w:val="26"/>
          <w:szCs w:val="26"/>
        </w:rPr>
        <w:t>Sichello</w:t>
      </w:r>
      <w:proofErr w:type="spellEnd"/>
      <w:r>
        <w:rPr>
          <w:rFonts w:ascii="ITC Bookman" w:hAnsi="ITC Bookman"/>
          <w:b/>
          <w:bCs/>
          <w:sz w:val="26"/>
          <w:szCs w:val="26"/>
        </w:rPr>
        <w:t xml:space="preserve">, </w:t>
      </w:r>
      <w:r>
        <w:rPr>
          <w:rFonts w:ascii="ITC Bookman" w:hAnsi="ITC Bookman"/>
          <w:sz w:val="26"/>
          <w:szCs w:val="26"/>
        </w:rPr>
        <w:t>Thunder-Clap Electronics</w:t>
      </w:r>
    </w:p>
    <w:p w:rsidR="00F63372" w:rsidRDefault="00F651C8">
      <w:pPr>
        <w:pStyle w:val="Textbody"/>
        <w:rPr>
          <w:rFonts w:ascii="ITC Bookman" w:hAnsi="ITC Bookman"/>
          <w:b/>
          <w:bCs/>
          <w:sz w:val="26"/>
          <w:szCs w:val="26"/>
        </w:rPr>
      </w:pPr>
      <w:r>
        <w:rPr>
          <w:rFonts w:ascii="ITC Bookman" w:hAnsi="ITC Bookman"/>
          <w:sz w:val="26"/>
          <w:szCs w:val="26"/>
        </w:rPr>
        <w:tab/>
      </w:r>
      <w:r>
        <w:rPr>
          <w:rFonts w:ascii="ITC Bookman" w:hAnsi="ITC Bookman"/>
          <w:sz w:val="26"/>
          <w:szCs w:val="26"/>
        </w:rPr>
        <w:tab/>
        <w:t>987 Electric Avenue, Regina, SK S4S5B9</w:t>
      </w:r>
    </w:p>
    <w:p w:rsidR="00F63372" w:rsidRDefault="00F651C8">
      <w:pPr>
        <w:pStyle w:val="Textbody"/>
        <w:rPr>
          <w:rFonts w:ascii="ITC Bookman" w:hAnsi="ITC Bookman"/>
          <w:b/>
          <w:bCs/>
          <w:sz w:val="26"/>
          <w:szCs w:val="26"/>
        </w:rPr>
      </w:pPr>
      <w:r>
        <w:rPr>
          <w:rFonts w:ascii="ITC Bookman" w:hAnsi="ITC Bookman"/>
          <w:sz w:val="26"/>
          <w:szCs w:val="26"/>
        </w:rPr>
        <w:tab/>
      </w:r>
      <w:r>
        <w:rPr>
          <w:rFonts w:ascii="ITC Bookman" w:hAnsi="ITC Bookman"/>
          <w:sz w:val="26"/>
          <w:szCs w:val="26"/>
        </w:rPr>
        <w:tab/>
      </w:r>
      <w:proofErr w:type="spellStart"/>
      <w:proofErr w:type="gramStart"/>
      <w:r>
        <w:rPr>
          <w:rFonts w:ascii="ITC Bookman" w:hAnsi="ITC Bookman"/>
          <w:sz w:val="26"/>
          <w:szCs w:val="26"/>
        </w:rPr>
        <w:t>tel</w:t>
      </w:r>
      <w:proofErr w:type="spellEnd"/>
      <w:proofErr w:type="gramEnd"/>
      <w:r>
        <w:rPr>
          <w:rFonts w:ascii="ITC Bookman" w:hAnsi="ITC Bookman"/>
          <w:sz w:val="26"/>
          <w:szCs w:val="26"/>
        </w:rPr>
        <w:t xml:space="preserve"> (306) 555 1234</w:t>
      </w:r>
    </w:p>
    <w:p w:rsidR="00F63372" w:rsidRDefault="00F651C8">
      <w:pPr>
        <w:pStyle w:val="Textbody"/>
        <w:rPr>
          <w:rFonts w:ascii="Albany AMT" w:hAnsi="Albany AMT"/>
          <w:b/>
          <w:bCs/>
        </w:rPr>
      </w:pPr>
      <w:r>
        <w:rPr>
          <w:rFonts w:ascii="ITC Bookman" w:hAnsi="ITC Bookman"/>
          <w:sz w:val="26"/>
          <w:szCs w:val="26"/>
        </w:rPr>
        <w:tab/>
      </w:r>
      <w:r>
        <w:rPr>
          <w:rFonts w:ascii="ITC Bookman" w:hAnsi="ITC Bookman"/>
          <w:sz w:val="26"/>
          <w:szCs w:val="26"/>
        </w:rPr>
        <w:tab/>
      </w:r>
      <w:hyperlink r:id="rId10" w:history="1">
        <w:r>
          <w:rPr>
            <w:rFonts w:ascii="ITC Bookman" w:hAnsi="ITC Bookman"/>
            <w:sz w:val="26"/>
            <w:szCs w:val="26"/>
          </w:rPr>
          <w:t>thunder_clap@electronics.ca</w:t>
        </w:r>
      </w:hyperlink>
    </w:p>
    <w:p w:rsidR="00F63372" w:rsidRDefault="00F63372">
      <w:pPr>
        <w:pStyle w:val="Textbody"/>
        <w:rPr>
          <w:rFonts w:ascii="ITC Bookman" w:hAnsi="ITC Bookman"/>
          <w:b/>
          <w:bCs/>
          <w:sz w:val="26"/>
          <w:szCs w:val="26"/>
        </w:rPr>
      </w:pPr>
    </w:p>
    <w:p w:rsidR="00F63372" w:rsidRDefault="00F63372">
      <w:pPr>
        <w:pStyle w:val="Textbody"/>
        <w:rPr>
          <w:rFonts w:ascii="ITC Bookman" w:hAnsi="ITC Bookman"/>
          <w:b/>
          <w:bCs/>
          <w:sz w:val="26"/>
          <w:szCs w:val="26"/>
        </w:rPr>
      </w:pPr>
    </w:p>
    <w:p w:rsidR="00F63372" w:rsidRDefault="00F651C8">
      <w:pPr>
        <w:pStyle w:val="Textbody"/>
        <w:rPr>
          <w:rFonts w:ascii="ITC Bookman" w:hAnsi="ITC Bookman"/>
          <w:b/>
          <w:bCs/>
          <w:sz w:val="26"/>
          <w:szCs w:val="26"/>
        </w:rPr>
      </w:pPr>
      <w:r>
        <w:rPr>
          <w:rFonts w:ascii="ITC Bookman" w:hAnsi="ITC Bookman"/>
          <w:b/>
          <w:bCs/>
          <w:sz w:val="26"/>
          <w:szCs w:val="26"/>
        </w:rPr>
        <w:t>February 2</w:t>
      </w:r>
      <w:r>
        <w:rPr>
          <w:rFonts w:ascii="ITC Bookman" w:hAnsi="ITC Bookman"/>
          <w:b/>
          <w:bCs/>
          <w:sz w:val="26"/>
          <w:szCs w:val="26"/>
          <w:vertAlign w:val="superscript"/>
        </w:rPr>
        <w:t>nd</w:t>
      </w:r>
      <w:r>
        <w:rPr>
          <w:rFonts w:ascii="ITC Bookman" w:hAnsi="ITC Bookman"/>
          <w:b/>
          <w:bCs/>
          <w:sz w:val="26"/>
          <w:szCs w:val="26"/>
        </w:rPr>
        <w:t>, 2011</w:t>
      </w:r>
    </w:p>
    <w:p w:rsidR="00F63372" w:rsidRDefault="00F651C8">
      <w:pPr>
        <w:pStyle w:val="Textbody"/>
        <w:rPr>
          <w:rFonts w:ascii="ITC Bookman" w:hAnsi="ITC Bookman"/>
          <w:b/>
          <w:bCs/>
          <w:sz w:val="26"/>
          <w:szCs w:val="26"/>
        </w:rPr>
      </w:pPr>
      <w:r>
        <w:rPr>
          <w:rFonts w:ascii="ITC Bookman" w:hAnsi="ITC Bookman"/>
          <w:b/>
          <w:bCs/>
          <w:sz w:val="26"/>
          <w:szCs w:val="26"/>
        </w:rPr>
        <w:t>File Version:</w:t>
      </w:r>
      <w:r>
        <w:rPr>
          <w:rFonts w:ascii="ITC Bookman" w:hAnsi="ITC Bookman"/>
          <w:sz w:val="26"/>
          <w:szCs w:val="26"/>
        </w:rPr>
        <w:t xml:space="preserve"> 1.00A</w:t>
      </w:r>
    </w:p>
    <w:p w:rsidR="00F63372" w:rsidRDefault="00F651C8">
      <w:pPr>
        <w:pStyle w:val="Textbody"/>
        <w:rPr>
          <w:rFonts w:ascii="ITC Bookman" w:hAnsi="ITC Bookman"/>
          <w:b/>
          <w:bCs/>
          <w:sz w:val="26"/>
          <w:szCs w:val="26"/>
        </w:rPr>
      </w:pPr>
      <w:r>
        <w:rPr>
          <w:rFonts w:ascii="ITC Bookman" w:hAnsi="ITC Bookman"/>
          <w:b/>
          <w:bCs/>
          <w:sz w:val="26"/>
          <w:szCs w:val="26"/>
        </w:rPr>
        <w:t>Proposal Number:</w:t>
      </w:r>
      <w:r>
        <w:rPr>
          <w:rFonts w:ascii="ITC Bookman" w:hAnsi="ITC Bookman"/>
          <w:sz w:val="26"/>
          <w:szCs w:val="26"/>
        </w:rPr>
        <w:t xml:space="preserve"> 5454-1</w:t>
      </w:r>
    </w:p>
    <w:p w:rsidR="00F63372" w:rsidRDefault="00F63372">
      <w:pPr>
        <w:pStyle w:val="Textbody"/>
        <w:rPr>
          <w:rFonts w:ascii="ITC Bookman" w:hAnsi="ITC Bookman"/>
          <w:b/>
          <w:bCs/>
          <w:sz w:val="26"/>
          <w:szCs w:val="26"/>
        </w:rPr>
      </w:pPr>
    </w:p>
    <w:p w:rsidR="00F63372" w:rsidRDefault="00F63372">
      <w:pPr>
        <w:pStyle w:val="Textbody"/>
        <w:rPr>
          <w:rFonts w:ascii="ITC Bookman" w:hAnsi="ITC Bookman"/>
          <w:b/>
          <w:bCs/>
          <w:sz w:val="26"/>
          <w:szCs w:val="26"/>
        </w:rPr>
      </w:pPr>
    </w:p>
    <w:p w:rsidR="00F63372" w:rsidRDefault="00F63372">
      <w:pPr>
        <w:pStyle w:val="Textbody"/>
        <w:rPr>
          <w:rFonts w:ascii="ITC Bookman" w:hAnsi="ITC Bookman"/>
          <w:b/>
          <w:bCs/>
          <w:sz w:val="26"/>
          <w:szCs w:val="26"/>
        </w:rPr>
      </w:pPr>
    </w:p>
    <w:p w:rsidR="00F63372" w:rsidRDefault="00F63372">
      <w:pPr>
        <w:pStyle w:val="Textbody"/>
        <w:rPr>
          <w:rFonts w:ascii="ITC Bookman" w:hAnsi="ITC Bookman"/>
          <w:b/>
          <w:bCs/>
          <w:sz w:val="26"/>
          <w:szCs w:val="26"/>
        </w:rPr>
      </w:pPr>
    </w:p>
    <w:p w:rsidR="00F63372" w:rsidRDefault="00F651C8">
      <w:pPr>
        <w:pStyle w:val="Textbody"/>
        <w:rPr>
          <w:rFonts w:ascii="ITC Bookman" w:hAnsi="ITC Bookman"/>
          <w:b/>
          <w:bCs/>
          <w:sz w:val="30"/>
          <w:szCs w:val="30"/>
        </w:rPr>
      </w:pPr>
      <w:r>
        <w:rPr>
          <w:rFonts w:ascii="ITC Bookman" w:hAnsi="ITC Bookman"/>
          <w:b/>
          <w:bCs/>
          <w:sz w:val="30"/>
          <w:szCs w:val="30"/>
          <w:u w:val="single"/>
        </w:rPr>
        <w:t>Abstract</w:t>
      </w:r>
    </w:p>
    <w:p w:rsidR="00F63372" w:rsidRDefault="00F651C8">
      <w:pPr>
        <w:pStyle w:val="Textbody"/>
        <w:rPr>
          <w:rFonts w:ascii="ITC Bookman" w:hAnsi="ITC Bookman"/>
          <w:b/>
          <w:bCs/>
          <w:sz w:val="26"/>
          <w:szCs w:val="26"/>
        </w:rPr>
      </w:pPr>
      <w:r>
        <w:rPr>
          <w:rFonts w:ascii="ITC Bookman" w:hAnsi="ITC Bookman"/>
          <w:sz w:val="26"/>
          <w:szCs w:val="26"/>
        </w:rPr>
        <w:t>Ed McDonald requested that a 'smart power bar' be designed to plug into a wall socket. Power usage on multiple sockets is to be logged and displayed on an LCD screen. Users must be able to input power costs per k</w:t>
      </w:r>
      <w:r>
        <w:rPr>
          <w:rFonts w:ascii="ITC Bookman" w:hAnsi="ITC Bookman"/>
          <w:sz w:val="26"/>
          <w:szCs w:val="26"/>
        </w:rPr>
        <w:t xml:space="preserve">Wh and power bar is to make a </w:t>
      </w:r>
      <w:proofErr w:type="spellStart"/>
      <w:r>
        <w:rPr>
          <w:rFonts w:ascii="ITC Bookman" w:hAnsi="ITC Bookman"/>
          <w:sz w:val="26"/>
          <w:szCs w:val="26"/>
        </w:rPr>
        <w:t>slection</w:t>
      </w:r>
      <w:proofErr w:type="spellEnd"/>
      <w:r>
        <w:rPr>
          <w:rFonts w:ascii="ITC Bookman" w:hAnsi="ITC Bookman"/>
          <w:sz w:val="26"/>
          <w:szCs w:val="26"/>
        </w:rPr>
        <w:t xml:space="preserve"> of cost calculations for each outlet.</w:t>
      </w:r>
    </w:p>
    <w:p w:rsidR="00F63372" w:rsidRDefault="00F63372">
      <w:pPr>
        <w:pStyle w:val="Textbody"/>
        <w:rPr>
          <w:rFonts w:ascii="ITC Bookman" w:hAnsi="ITC Bookman"/>
          <w:sz w:val="26"/>
          <w:szCs w:val="26"/>
        </w:rPr>
      </w:pPr>
    </w:p>
    <w:p w:rsidR="00F63372" w:rsidRDefault="00F651C8">
      <w:pPr>
        <w:pStyle w:val="Textbody"/>
        <w:rPr>
          <w:rFonts w:ascii="ITC Bookman" w:hAnsi="ITC Bookman"/>
          <w:b/>
          <w:bCs/>
          <w:sz w:val="30"/>
          <w:szCs w:val="30"/>
          <w:u w:val="single"/>
        </w:rPr>
      </w:pPr>
      <w:r>
        <w:rPr>
          <w:rFonts w:ascii="ITC Bookman" w:hAnsi="ITC Bookman"/>
          <w:b/>
          <w:bCs/>
          <w:sz w:val="30"/>
          <w:szCs w:val="30"/>
          <w:u w:val="single"/>
        </w:rPr>
        <w:t>Background</w:t>
      </w:r>
    </w:p>
    <w:p w:rsidR="00F63372" w:rsidRDefault="00F651C8">
      <w:pPr>
        <w:pStyle w:val="Textbody"/>
        <w:rPr>
          <w:rFonts w:ascii="ITC Bookman" w:hAnsi="ITC Bookman"/>
          <w:b/>
          <w:bCs/>
          <w:sz w:val="26"/>
          <w:szCs w:val="26"/>
        </w:rPr>
      </w:pPr>
      <w:r>
        <w:rPr>
          <w:rFonts w:ascii="ITC Bookman" w:hAnsi="ITC Bookman"/>
          <w:sz w:val="26"/>
          <w:szCs w:val="26"/>
        </w:rPr>
        <w:t xml:space="preserve">There are a variety of energy meters available on the market but consumers are very limited in their options. The vast </w:t>
      </w:r>
      <w:proofErr w:type="gramStart"/>
      <w:r>
        <w:rPr>
          <w:rFonts w:ascii="ITC Bookman" w:hAnsi="ITC Bookman"/>
          <w:sz w:val="26"/>
          <w:szCs w:val="26"/>
        </w:rPr>
        <w:t>majority include</w:t>
      </w:r>
      <w:proofErr w:type="gramEnd"/>
      <w:r>
        <w:rPr>
          <w:rFonts w:ascii="ITC Bookman" w:hAnsi="ITC Bookman"/>
          <w:sz w:val="26"/>
          <w:szCs w:val="26"/>
        </w:rPr>
        <w:t xml:space="preserve"> only one outlet and are incapa</w:t>
      </w:r>
      <w:r>
        <w:rPr>
          <w:rFonts w:ascii="ITC Bookman" w:hAnsi="ITC Bookman"/>
          <w:sz w:val="26"/>
          <w:szCs w:val="26"/>
        </w:rPr>
        <w:t>ble of performing the cost calculations that many consumers find challenging.</w:t>
      </w:r>
    </w:p>
    <w:p w:rsidR="00F63372" w:rsidRDefault="00F63372">
      <w:pPr>
        <w:pStyle w:val="Textbody"/>
        <w:rPr>
          <w:rFonts w:ascii="ITC Bookman" w:hAnsi="ITC Bookman"/>
          <w:b/>
          <w:bCs/>
          <w:sz w:val="26"/>
          <w:szCs w:val="26"/>
        </w:rPr>
      </w:pPr>
    </w:p>
    <w:p w:rsidR="00F63372" w:rsidRDefault="00F651C8">
      <w:pPr>
        <w:pStyle w:val="Textbody"/>
        <w:rPr>
          <w:rFonts w:ascii="ITC Bookman" w:hAnsi="ITC Bookman"/>
          <w:b/>
          <w:bCs/>
          <w:sz w:val="30"/>
          <w:szCs w:val="30"/>
          <w:u w:val="single"/>
        </w:rPr>
      </w:pPr>
      <w:r>
        <w:rPr>
          <w:rFonts w:ascii="ITC Bookman" w:hAnsi="ITC Bookman"/>
          <w:b/>
          <w:bCs/>
          <w:sz w:val="30"/>
          <w:szCs w:val="30"/>
          <w:u w:val="single"/>
        </w:rPr>
        <w:t>Proposal</w:t>
      </w:r>
    </w:p>
    <w:p w:rsidR="00F63372" w:rsidRDefault="00F651C8">
      <w:pPr>
        <w:pStyle w:val="Textbody"/>
        <w:rPr>
          <w:rFonts w:ascii="ITC Bookman" w:hAnsi="ITC Bookman"/>
          <w:b/>
          <w:bCs/>
          <w:sz w:val="26"/>
          <w:szCs w:val="26"/>
          <w:u w:val="single"/>
        </w:rPr>
      </w:pPr>
      <w:r>
        <w:rPr>
          <w:rFonts w:ascii="ITC Bookman" w:hAnsi="ITC Bookman"/>
          <w:b/>
          <w:bCs/>
          <w:sz w:val="26"/>
          <w:szCs w:val="26"/>
        </w:rPr>
        <w:t>Description</w:t>
      </w:r>
    </w:p>
    <w:p w:rsidR="00F63372" w:rsidRDefault="00F651C8">
      <w:pPr>
        <w:pStyle w:val="Textbody"/>
        <w:rPr>
          <w:rFonts w:ascii="ITC Bookman" w:hAnsi="ITC Bookman"/>
          <w:b/>
          <w:bCs/>
          <w:sz w:val="26"/>
          <w:szCs w:val="26"/>
          <w:u w:val="single"/>
        </w:rPr>
      </w:pPr>
      <w:r>
        <w:rPr>
          <w:rFonts w:ascii="ITC Bookman" w:hAnsi="ITC Bookman"/>
          <w:sz w:val="26"/>
          <w:szCs w:val="26"/>
        </w:rPr>
        <w:t xml:space="preserve">A power bar will be created to measure the power usage for the 2 (or 3) 110 VAC electrical outlets on the module. Measurements will need to be logged in </w:t>
      </w:r>
      <w:r>
        <w:rPr>
          <w:rFonts w:ascii="ITC Bookman" w:hAnsi="ITC Bookman"/>
          <w:sz w:val="26"/>
          <w:szCs w:val="26"/>
        </w:rPr>
        <w:t>memory for averaging and cost calculations. To allow for input of local power costs, there will be a series of pushbuttons for user control. Users will have an option to input local power costs as well as a series of easily selectable options for what is d</w:t>
      </w:r>
      <w:r>
        <w:rPr>
          <w:rFonts w:ascii="ITC Bookman" w:hAnsi="ITC Bookman"/>
          <w:sz w:val="26"/>
          <w:szCs w:val="26"/>
        </w:rPr>
        <w:t>isplayed on the LCD screen. All displayed measurements and calculations must be within 10% error.</w:t>
      </w:r>
    </w:p>
    <w:p w:rsidR="00F63372" w:rsidRDefault="00F63372">
      <w:pPr>
        <w:pStyle w:val="Textbody"/>
        <w:rPr>
          <w:rFonts w:ascii="ITC Bookman" w:hAnsi="ITC Bookman"/>
          <w:b/>
          <w:bCs/>
          <w:sz w:val="26"/>
          <w:szCs w:val="26"/>
          <w:u w:val="single"/>
        </w:rPr>
      </w:pPr>
    </w:p>
    <w:p w:rsidR="00F63372" w:rsidRDefault="00F651C8">
      <w:pPr>
        <w:pStyle w:val="Textbody"/>
        <w:rPr>
          <w:rFonts w:ascii="ITC Bookman" w:hAnsi="ITC Bookman"/>
          <w:b/>
          <w:bCs/>
          <w:sz w:val="26"/>
          <w:szCs w:val="26"/>
          <w:u w:val="single"/>
        </w:rPr>
      </w:pPr>
      <w:r>
        <w:rPr>
          <w:rFonts w:ascii="ITC Bookman" w:hAnsi="ITC Bookman"/>
          <w:b/>
          <w:bCs/>
          <w:sz w:val="26"/>
          <w:szCs w:val="26"/>
        </w:rPr>
        <w:t>Overview and Operation</w:t>
      </w:r>
    </w:p>
    <w:p w:rsidR="00F63372" w:rsidRDefault="00F651C8">
      <w:pPr>
        <w:pStyle w:val="Textbody"/>
        <w:rPr>
          <w:rFonts w:ascii="ITC Bookman" w:hAnsi="ITC Bookman"/>
          <w:sz w:val="26"/>
          <w:szCs w:val="26"/>
          <w:u w:val="single"/>
        </w:rPr>
      </w:pPr>
      <w:r>
        <w:rPr>
          <w:rFonts w:ascii="ITC Bookman" w:hAnsi="ITC Bookman"/>
          <w:sz w:val="26"/>
          <w:szCs w:val="26"/>
        </w:rPr>
        <w:t>The user selectable options on the LCD screen for each device must include:</w:t>
      </w:r>
    </w:p>
    <w:p w:rsidR="00F63372" w:rsidRDefault="00F651C8">
      <w:pPr>
        <w:pStyle w:val="Textbody"/>
        <w:numPr>
          <w:ilvl w:val="0"/>
          <w:numId w:val="2"/>
        </w:numPr>
        <w:rPr>
          <w:rFonts w:ascii="ITC Bookman" w:hAnsi="ITC Bookman"/>
          <w:sz w:val="26"/>
          <w:szCs w:val="26"/>
        </w:rPr>
      </w:pPr>
      <w:r>
        <w:rPr>
          <w:rFonts w:ascii="ITC Bookman" w:hAnsi="ITC Bookman"/>
          <w:sz w:val="26"/>
          <w:szCs w:val="26"/>
        </w:rPr>
        <w:t>Total energy consumed</w:t>
      </w:r>
    </w:p>
    <w:p w:rsidR="00F63372" w:rsidRDefault="00F651C8">
      <w:pPr>
        <w:pStyle w:val="Textbody"/>
        <w:numPr>
          <w:ilvl w:val="0"/>
          <w:numId w:val="2"/>
        </w:numPr>
        <w:rPr>
          <w:rFonts w:ascii="ITC Bookman" w:hAnsi="ITC Bookman"/>
          <w:sz w:val="26"/>
          <w:szCs w:val="26"/>
        </w:rPr>
      </w:pPr>
      <w:r>
        <w:rPr>
          <w:rFonts w:ascii="ITC Bookman" w:hAnsi="ITC Bookman"/>
          <w:sz w:val="26"/>
          <w:szCs w:val="26"/>
        </w:rPr>
        <w:t>Average power levels</w:t>
      </w:r>
    </w:p>
    <w:p w:rsidR="00F63372" w:rsidRDefault="00F651C8">
      <w:pPr>
        <w:pStyle w:val="Textbody"/>
        <w:numPr>
          <w:ilvl w:val="0"/>
          <w:numId w:val="2"/>
        </w:numPr>
        <w:rPr>
          <w:rFonts w:ascii="ITC Bookman" w:hAnsi="ITC Bookman"/>
          <w:sz w:val="26"/>
          <w:szCs w:val="26"/>
        </w:rPr>
      </w:pPr>
      <w:r>
        <w:rPr>
          <w:rFonts w:ascii="ITC Bookman" w:hAnsi="ITC Bookman"/>
          <w:sz w:val="26"/>
          <w:szCs w:val="26"/>
        </w:rPr>
        <w:t xml:space="preserve">Estimated </w:t>
      </w:r>
      <w:r>
        <w:rPr>
          <w:rFonts w:ascii="ITC Bookman" w:hAnsi="ITC Bookman"/>
          <w:sz w:val="26"/>
          <w:szCs w:val="26"/>
        </w:rPr>
        <w:t>cumulative operation cost</w:t>
      </w:r>
    </w:p>
    <w:p w:rsidR="00F63372" w:rsidRDefault="00F651C8">
      <w:pPr>
        <w:pStyle w:val="Textbody"/>
        <w:numPr>
          <w:ilvl w:val="0"/>
          <w:numId w:val="2"/>
        </w:numPr>
        <w:rPr>
          <w:rFonts w:ascii="ITC Bookman" w:hAnsi="ITC Bookman"/>
          <w:sz w:val="26"/>
          <w:szCs w:val="26"/>
        </w:rPr>
      </w:pPr>
      <w:r>
        <w:rPr>
          <w:rFonts w:ascii="ITC Bookman" w:hAnsi="ITC Bookman"/>
          <w:sz w:val="26"/>
          <w:szCs w:val="26"/>
        </w:rPr>
        <w:t>Estimated cost per day of operation</w:t>
      </w:r>
    </w:p>
    <w:p w:rsidR="00F63372" w:rsidRDefault="00F651C8">
      <w:pPr>
        <w:pStyle w:val="Textbody"/>
        <w:rPr>
          <w:rFonts w:ascii="ITC Bookman" w:hAnsi="ITC Bookman"/>
          <w:sz w:val="26"/>
          <w:szCs w:val="26"/>
        </w:rPr>
      </w:pPr>
      <w:r>
        <w:rPr>
          <w:rFonts w:ascii="ITC Bookman" w:hAnsi="ITC Bookman"/>
          <w:sz w:val="26"/>
          <w:szCs w:val="26"/>
        </w:rPr>
        <w:t>Users will be able to page through these options at will.</w:t>
      </w:r>
    </w:p>
    <w:p w:rsidR="00F63372" w:rsidRDefault="00F651C8">
      <w:pPr>
        <w:pStyle w:val="Textbody"/>
        <w:rPr>
          <w:rFonts w:ascii="ITC Bookman" w:hAnsi="ITC Bookman"/>
          <w:sz w:val="26"/>
          <w:szCs w:val="26"/>
          <w:u w:val="single"/>
        </w:rPr>
      </w:pPr>
      <w:r>
        <w:rPr>
          <w:rFonts w:ascii="ITC Bookman" w:hAnsi="ITC Bookman"/>
          <w:sz w:val="26"/>
          <w:szCs w:val="26"/>
        </w:rPr>
        <w:t>Put simply, electrical power usage at any instant is the product of voltage and current. Since this device will be used with 110 V, 50H</w:t>
      </w:r>
      <w:r>
        <w:rPr>
          <w:rFonts w:ascii="ITC Bookman" w:hAnsi="ITC Bookman"/>
          <w:sz w:val="26"/>
          <w:szCs w:val="26"/>
        </w:rPr>
        <w:t>z AC, only current will be measured. Any deviations from true 110 VAC residential power will be made up for by my 10% error margin.</w:t>
      </w:r>
    </w:p>
    <w:p w:rsidR="00F63372" w:rsidRDefault="00F651C8">
      <w:pPr>
        <w:pStyle w:val="Textbody"/>
        <w:rPr>
          <w:rFonts w:ascii="ITC Bookman" w:hAnsi="ITC Bookman"/>
          <w:sz w:val="26"/>
          <w:szCs w:val="26"/>
          <w:u w:val="single"/>
        </w:rPr>
      </w:pPr>
      <w:r>
        <w:rPr>
          <w:rFonts w:ascii="ITC Bookman" w:hAnsi="ITC Bookman"/>
          <w:sz w:val="26"/>
          <w:szCs w:val="26"/>
        </w:rPr>
        <w:t xml:space="preserve">Current sensing will be done via a series of current transformers (CT's). Current will be </w:t>
      </w:r>
      <w:r>
        <w:rPr>
          <w:rFonts w:ascii="ITC Bookman" w:hAnsi="ITC Bookman"/>
          <w:sz w:val="26"/>
          <w:szCs w:val="26"/>
        </w:rPr>
        <w:lastRenderedPageBreak/>
        <w:t>sampled, via and ADC, at a much hi</w:t>
      </w:r>
      <w:r>
        <w:rPr>
          <w:rFonts w:ascii="ITC Bookman" w:hAnsi="ITC Bookman"/>
          <w:sz w:val="26"/>
          <w:szCs w:val="26"/>
        </w:rPr>
        <w:t>gher frequency than the 50Hz supply power. By logging many samples each cycle, an RMS current calculation can be made and saved at regular time intervals (at least once a second)</w:t>
      </w:r>
      <w:proofErr w:type="gramStart"/>
      <w:r>
        <w:rPr>
          <w:rFonts w:ascii="ITC Bookman" w:hAnsi="ITC Bookman"/>
          <w:sz w:val="26"/>
          <w:szCs w:val="26"/>
        </w:rPr>
        <w:t>,</w:t>
      </w:r>
      <w:proofErr w:type="gramEnd"/>
      <w:r>
        <w:rPr>
          <w:rFonts w:ascii="ITC Bookman" w:hAnsi="ITC Bookman"/>
          <w:sz w:val="26"/>
          <w:szCs w:val="26"/>
        </w:rPr>
        <w:t xml:space="preserve"> then samples may be cleared from memory. Each time RMS current is calculated</w:t>
      </w:r>
      <w:r>
        <w:rPr>
          <w:rFonts w:ascii="ITC Bookman" w:hAnsi="ITC Bookman"/>
          <w:sz w:val="26"/>
          <w:szCs w:val="26"/>
        </w:rPr>
        <w:t>, energy use will be calculated via:</w:t>
      </w:r>
    </w:p>
    <w:p w:rsidR="00F63372" w:rsidRDefault="00F651C8">
      <w:pPr>
        <w:pStyle w:val="Textbody"/>
        <w:jc w:val="center"/>
        <w:rPr>
          <w:rFonts w:ascii="ITC Bookman" w:hAnsi="ITC Bookman"/>
          <w:b/>
          <w:bCs/>
          <w:sz w:val="26"/>
          <w:szCs w:val="26"/>
          <w:u w:val="single"/>
        </w:rPr>
      </w:pPr>
      <w:r>
        <w:rPr>
          <w:rFonts w:ascii="ITC Bookman" w:hAnsi="ITC Bookman"/>
          <w:b/>
          <w:bCs/>
          <w:sz w:val="26"/>
          <w:szCs w:val="26"/>
        </w:rPr>
        <w:t xml:space="preserve">E = </w:t>
      </w:r>
      <w:proofErr w:type="spellStart"/>
      <w:r>
        <w:rPr>
          <w:rFonts w:ascii="ITC Bookman" w:hAnsi="ITC Bookman"/>
          <w:b/>
          <w:bCs/>
          <w:sz w:val="26"/>
          <w:szCs w:val="26"/>
        </w:rPr>
        <w:t>P</w:t>
      </w:r>
      <w:r>
        <w:rPr>
          <w:rFonts w:ascii="ITC Bookman" w:hAnsi="ITC Bookman"/>
          <w:sz w:val="26"/>
          <w:szCs w:val="26"/>
        </w:rPr>
        <w:t>rms</w:t>
      </w:r>
      <w:proofErr w:type="spellEnd"/>
      <w:r>
        <w:rPr>
          <w:rFonts w:ascii="ITC Bookman" w:hAnsi="ITC Bookman"/>
          <w:sz w:val="26"/>
          <w:szCs w:val="26"/>
        </w:rPr>
        <w:t xml:space="preserve"> *</w:t>
      </w:r>
      <w:r>
        <w:rPr>
          <w:rFonts w:ascii="ITC Bookman" w:hAnsi="ITC Bookman"/>
          <w:b/>
          <w:bCs/>
          <w:sz w:val="26"/>
          <w:szCs w:val="26"/>
        </w:rPr>
        <w:t xml:space="preserve"> Time Elapsed</w:t>
      </w:r>
    </w:p>
    <w:p w:rsidR="00F63372" w:rsidRDefault="00F651C8">
      <w:pPr>
        <w:pStyle w:val="Textbody"/>
        <w:rPr>
          <w:rFonts w:ascii="ITC Bookman" w:hAnsi="ITC Bookman"/>
          <w:b/>
          <w:bCs/>
          <w:sz w:val="26"/>
          <w:szCs w:val="26"/>
          <w:u w:val="single"/>
        </w:rPr>
      </w:pPr>
      <w:r>
        <w:rPr>
          <w:rFonts w:ascii="ITC Bookman" w:hAnsi="ITC Bookman"/>
          <w:sz w:val="26"/>
          <w:szCs w:val="26"/>
        </w:rPr>
        <w:t>Rather than keeping an indefinite running total of consumed energy, the unit will accumulate up to 0.01 kWh (the resolution of the screen) then increment.  By keeping track of the energy consume</w:t>
      </w:r>
      <w:r>
        <w:rPr>
          <w:rFonts w:ascii="ITC Bookman" w:hAnsi="ITC Bookman"/>
          <w:sz w:val="26"/>
          <w:szCs w:val="26"/>
        </w:rPr>
        <w:t xml:space="preserve">d and the cost per kWh, it is straight forward to calculate the cumulative cost or forecast the cost per day of an appliance.   </w:t>
      </w:r>
    </w:p>
    <w:p w:rsidR="00F63372" w:rsidRDefault="00F651C8">
      <w:pPr>
        <w:pStyle w:val="Textbody"/>
        <w:rPr>
          <w:rFonts w:ascii="ITC Bookman" w:hAnsi="ITC Bookman"/>
          <w:sz w:val="26"/>
          <w:szCs w:val="26"/>
          <w:u w:val="single"/>
        </w:rPr>
      </w:pPr>
      <w:r>
        <w:rPr>
          <w:rFonts w:ascii="ITC Bookman" w:hAnsi="ITC Bookman"/>
          <w:sz w:val="26"/>
          <w:szCs w:val="26"/>
        </w:rPr>
        <w:t>The following block diagram loosely illustrates the components and interfaces:</w:t>
      </w:r>
    </w:p>
    <w:p w:rsidR="00F63372" w:rsidRDefault="00F651C8">
      <w:pPr>
        <w:pStyle w:val="Textbody"/>
        <w:rPr>
          <w:rFonts w:ascii="ITC Bookman" w:hAnsi="ITC Bookman"/>
          <w:b/>
          <w:bCs/>
          <w:sz w:val="26"/>
          <w:szCs w:val="26"/>
          <w:u w:val="single"/>
        </w:rPr>
      </w:pPr>
      <w:r>
        <w:rPr>
          <w:rFonts w:ascii="ITC Bookman" w:hAnsi="ITC Bookman"/>
          <w:b/>
          <w:bCs/>
          <w:noProof/>
          <w:sz w:val="26"/>
          <w:szCs w:val="26"/>
          <w:u w:val="single"/>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301000" cy="3825360"/>
            <wp:effectExtent l="0" t="0" r="0" b="369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01000" cy="3825360"/>
                    </a:xfrm>
                    <a:prstGeom prst="rect">
                      <a:avLst/>
                    </a:prstGeom>
                  </pic:spPr>
                </pic:pic>
              </a:graphicData>
            </a:graphic>
          </wp:anchor>
        </w:drawing>
      </w:r>
    </w:p>
    <w:p w:rsidR="00F63372" w:rsidRDefault="00F651C8">
      <w:pPr>
        <w:pStyle w:val="Textbody"/>
        <w:rPr>
          <w:rFonts w:ascii="ITC Bookman" w:hAnsi="ITC Bookman"/>
          <w:b/>
          <w:bCs/>
          <w:sz w:val="26"/>
          <w:szCs w:val="26"/>
          <w:u w:val="single"/>
        </w:rPr>
      </w:pPr>
      <w:r>
        <w:rPr>
          <w:rFonts w:ascii="ITC Bookman" w:hAnsi="ITC Bookman"/>
          <w:sz w:val="26"/>
          <w:szCs w:val="26"/>
        </w:rPr>
        <w:t>The unit will be powered up and acquiring dat</w:t>
      </w:r>
      <w:r>
        <w:rPr>
          <w:rFonts w:ascii="ITC Bookman" w:hAnsi="ITC Bookman"/>
          <w:sz w:val="26"/>
          <w:szCs w:val="26"/>
        </w:rPr>
        <w:t>a whenever plugged into a wall socket. If unplugged, all former data will be cleared from memory. This can also be achieved by means of a master reset button. Users can also reset the data for individual channels using the pushbuttons.</w:t>
      </w:r>
    </w:p>
    <w:p w:rsidR="00F63372" w:rsidRDefault="00F651C8">
      <w:pPr>
        <w:pStyle w:val="Textbody"/>
        <w:rPr>
          <w:rFonts w:ascii="ITC Bookman" w:hAnsi="ITC Bookman"/>
          <w:b/>
          <w:bCs/>
          <w:sz w:val="26"/>
          <w:szCs w:val="26"/>
          <w:u w:val="single"/>
        </w:rPr>
      </w:pPr>
      <w:r>
        <w:rPr>
          <w:rFonts w:ascii="ITC Bookman" w:hAnsi="ITC Bookman"/>
          <w:sz w:val="26"/>
          <w:szCs w:val="26"/>
        </w:rPr>
        <w:t>Upon startup, the d</w:t>
      </w:r>
      <w:r>
        <w:rPr>
          <w:rFonts w:ascii="ITC Bookman" w:hAnsi="ITC Bookman"/>
          <w:sz w:val="26"/>
          <w:szCs w:val="26"/>
        </w:rPr>
        <w:t xml:space="preserve">evice will enter a default mode of operation and remain there until the user interrupts it via the inputs. Interrupts include selecting display options or entering the “PROGRAM” mode to input local power costs.   </w:t>
      </w:r>
    </w:p>
    <w:p w:rsidR="00F63372" w:rsidRDefault="00F63372">
      <w:pPr>
        <w:pStyle w:val="Textbody"/>
        <w:rPr>
          <w:rFonts w:ascii="ITC Bookman" w:hAnsi="ITC Bookman"/>
          <w:b/>
          <w:bCs/>
          <w:sz w:val="26"/>
          <w:szCs w:val="26"/>
          <w:u w:val="single"/>
        </w:rPr>
      </w:pPr>
    </w:p>
    <w:p w:rsidR="00F63372" w:rsidRDefault="00F651C8">
      <w:pPr>
        <w:pStyle w:val="Textbody"/>
        <w:rPr>
          <w:rFonts w:ascii="ITC Bookman" w:hAnsi="ITC Bookman"/>
          <w:b/>
          <w:bCs/>
          <w:sz w:val="26"/>
          <w:szCs w:val="26"/>
          <w:u w:val="single"/>
        </w:rPr>
      </w:pPr>
      <w:r>
        <w:rPr>
          <w:rFonts w:ascii="ITC Bookman" w:hAnsi="ITC Bookman"/>
          <w:b/>
          <w:bCs/>
          <w:sz w:val="26"/>
          <w:szCs w:val="26"/>
        </w:rPr>
        <w:lastRenderedPageBreak/>
        <w:t>Operating Conditions and Safety</w:t>
      </w:r>
    </w:p>
    <w:p w:rsidR="00F63372" w:rsidRDefault="00F651C8">
      <w:pPr>
        <w:pStyle w:val="Textbody"/>
        <w:rPr>
          <w:rFonts w:ascii="ITC Bookman" w:hAnsi="ITC Bookman"/>
          <w:sz w:val="26"/>
          <w:szCs w:val="26"/>
          <w:u w:val="single"/>
        </w:rPr>
      </w:pPr>
      <w:r>
        <w:rPr>
          <w:rFonts w:ascii="ITC Bookman" w:hAnsi="ITC Bookman"/>
          <w:sz w:val="26"/>
          <w:szCs w:val="26"/>
        </w:rPr>
        <w:t>Being a h</w:t>
      </w:r>
      <w:r>
        <w:rPr>
          <w:rFonts w:ascii="ITC Bookman" w:hAnsi="ITC Bookman"/>
          <w:sz w:val="26"/>
          <w:szCs w:val="26"/>
        </w:rPr>
        <w:t>igh voltage device, safety is a major concern. For this reason, the unit will be electrically isolated from the 110 VAC with the exception of the step-down transformer used in the power supply. The current transformers will provide this isolation.</w:t>
      </w:r>
    </w:p>
    <w:p w:rsidR="00F63372" w:rsidRDefault="00F651C8">
      <w:pPr>
        <w:pStyle w:val="Textbody"/>
        <w:rPr>
          <w:rFonts w:ascii="ITC Bookman" w:hAnsi="ITC Bookman"/>
          <w:sz w:val="26"/>
          <w:szCs w:val="26"/>
          <w:u w:val="single"/>
        </w:rPr>
      </w:pPr>
      <w:r>
        <w:rPr>
          <w:rFonts w:ascii="ITC Bookman" w:hAnsi="ITC Bookman"/>
          <w:sz w:val="26"/>
          <w:szCs w:val="26"/>
        </w:rPr>
        <w:t>To prot</w:t>
      </w:r>
      <w:r>
        <w:rPr>
          <w:rFonts w:ascii="ITC Bookman" w:hAnsi="ITC Bookman"/>
          <w:sz w:val="26"/>
          <w:szCs w:val="26"/>
        </w:rPr>
        <w:t>ect from over-current, the main input will be equipped with either a fuse or circuit breaker. The unit must be able to operate between 0 and 50 degrees Celsius (domestic use) with humidity up to 80%.</w:t>
      </w:r>
    </w:p>
    <w:p w:rsidR="00F63372" w:rsidRDefault="00F63372">
      <w:pPr>
        <w:pStyle w:val="Textbody"/>
        <w:rPr>
          <w:rFonts w:ascii="ITC Bookman" w:hAnsi="ITC Bookman"/>
          <w:sz w:val="26"/>
          <w:szCs w:val="26"/>
          <w:u w:val="single"/>
        </w:rPr>
      </w:pPr>
    </w:p>
    <w:p w:rsidR="00F63372" w:rsidRDefault="00F651C8">
      <w:pPr>
        <w:pStyle w:val="Textbody"/>
        <w:rPr>
          <w:rFonts w:ascii="ITC Bookman" w:hAnsi="ITC Bookman"/>
          <w:b/>
          <w:bCs/>
          <w:sz w:val="26"/>
          <w:szCs w:val="26"/>
          <w:u w:val="single"/>
        </w:rPr>
      </w:pPr>
      <w:r>
        <w:rPr>
          <w:rFonts w:ascii="ITC Bookman" w:hAnsi="ITC Bookman"/>
          <w:b/>
          <w:bCs/>
          <w:sz w:val="26"/>
          <w:szCs w:val="26"/>
        </w:rPr>
        <w:t>Physical Packaging</w:t>
      </w:r>
    </w:p>
    <w:p w:rsidR="00F63372" w:rsidRDefault="00F651C8">
      <w:pPr>
        <w:pStyle w:val="Textbody"/>
        <w:rPr>
          <w:rFonts w:ascii="ITC Bookman" w:hAnsi="ITC Bookman"/>
          <w:sz w:val="26"/>
          <w:szCs w:val="26"/>
          <w:u w:val="single"/>
        </w:rPr>
      </w:pPr>
      <w:r>
        <w:rPr>
          <w:rFonts w:ascii="ITC Bookman" w:hAnsi="ITC Bookman"/>
          <w:sz w:val="26"/>
          <w:szCs w:val="26"/>
        </w:rPr>
        <w:t>The size of the prototype power boar</w:t>
      </w:r>
      <w:r>
        <w:rPr>
          <w:rFonts w:ascii="ITC Bookman" w:hAnsi="ITC Bookman"/>
          <w:sz w:val="26"/>
          <w:szCs w:val="26"/>
        </w:rPr>
        <w:t xml:space="preserve">d must be under 35x20x10 cm. If a metal </w:t>
      </w:r>
      <w:proofErr w:type="spellStart"/>
      <w:r>
        <w:rPr>
          <w:rFonts w:ascii="ITC Bookman" w:hAnsi="ITC Bookman"/>
          <w:sz w:val="26"/>
          <w:szCs w:val="26"/>
        </w:rPr>
        <w:t>encloure</w:t>
      </w:r>
      <w:proofErr w:type="spellEnd"/>
      <w:r>
        <w:rPr>
          <w:rFonts w:ascii="ITC Bookman" w:hAnsi="ITC Bookman"/>
          <w:sz w:val="26"/>
          <w:szCs w:val="26"/>
        </w:rPr>
        <w:t xml:space="preserve"> is used, it must be grounded.</w:t>
      </w:r>
    </w:p>
    <w:p w:rsidR="00F63372" w:rsidRDefault="00F63372">
      <w:pPr>
        <w:pStyle w:val="Textbody"/>
        <w:rPr>
          <w:rFonts w:ascii="ITC Bookman" w:hAnsi="ITC Bookman"/>
          <w:sz w:val="26"/>
          <w:szCs w:val="26"/>
          <w:u w:val="single"/>
        </w:rPr>
      </w:pPr>
    </w:p>
    <w:p w:rsidR="00F63372" w:rsidRDefault="00F651C8">
      <w:pPr>
        <w:pStyle w:val="Textbody"/>
        <w:rPr>
          <w:rFonts w:ascii="ITC Bookman" w:hAnsi="ITC Bookman"/>
          <w:sz w:val="26"/>
          <w:szCs w:val="26"/>
          <w:u w:val="single"/>
        </w:rPr>
      </w:pPr>
      <w:r>
        <w:rPr>
          <w:rFonts w:ascii="ITC Bookman" w:hAnsi="ITC Bookman"/>
          <w:b/>
          <w:bCs/>
          <w:sz w:val="26"/>
          <w:szCs w:val="26"/>
        </w:rPr>
        <w:t>Budget</w:t>
      </w:r>
    </w:p>
    <w:p w:rsidR="00F63372" w:rsidRDefault="00F651C8">
      <w:pPr>
        <w:pStyle w:val="Textbody"/>
        <w:rPr>
          <w:rFonts w:ascii="ITC Bookman" w:hAnsi="ITC Bookman"/>
          <w:sz w:val="26"/>
          <w:szCs w:val="26"/>
          <w:u w:val="single"/>
        </w:rPr>
      </w:pPr>
      <w:r>
        <w:rPr>
          <w:rFonts w:ascii="ITC Bookman" w:hAnsi="ITC Bookman"/>
          <w:sz w:val="26"/>
          <w:szCs w:val="26"/>
        </w:rPr>
        <w:t xml:space="preserve">The budget for the initial working prototype is a fixed cost of $3000. The production power bars must be under $80 though. If it is not built by the deadline, a </w:t>
      </w:r>
      <w:r>
        <w:rPr>
          <w:rFonts w:ascii="ITC Bookman" w:hAnsi="ITC Bookman"/>
          <w:sz w:val="26"/>
          <w:szCs w:val="26"/>
        </w:rPr>
        <w:t>discount of 10% per month will be given until the project is finished.</w:t>
      </w:r>
    </w:p>
    <w:p w:rsidR="00F63372" w:rsidRDefault="00F63372">
      <w:pPr>
        <w:pStyle w:val="Textbody"/>
        <w:rPr>
          <w:rFonts w:ascii="ITC Bookman" w:hAnsi="ITC Bookman"/>
          <w:sz w:val="26"/>
          <w:szCs w:val="26"/>
          <w:u w:val="single"/>
        </w:rPr>
      </w:pPr>
    </w:p>
    <w:p w:rsidR="00F63372" w:rsidRDefault="00F651C8">
      <w:pPr>
        <w:pStyle w:val="Textbody"/>
        <w:rPr>
          <w:rFonts w:ascii="ITC Bookman" w:hAnsi="ITC Bookman"/>
          <w:sz w:val="26"/>
          <w:szCs w:val="26"/>
          <w:u w:val="single"/>
        </w:rPr>
      </w:pPr>
      <w:r>
        <w:rPr>
          <w:rFonts w:ascii="ITC Bookman" w:hAnsi="ITC Bookman"/>
          <w:b/>
          <w:bCs/>
          <w:sz w:val="26"/>
          <w:szCs w:val="26"/>
        </w:rPr>
        <w:t>Optional Additional Features</w:t>
      </w:r>
    </w:p>
    <w:p w:rsidR="00F63372" w:rsidRDefault="00F651C8">
      <w:pPr>
        <w:pStyle w:val="Textbody"/>
        <w:rPr>
          <w:rFonts w:ascii="ITC Bookman" w:hAnsi="ITC Bookman"/>
          <w:sz w:val="26"/>
          <w:szCs w:val="26"/>
          <w:u w:val="single"/>
        </w:rPr>
      </w:pPr>
      <w:r>
        <w:rPr>
          <w:rFonts w:ascii="ITC Bookman" w:hAnsi="ITC Bookman"/>
          <w:sz w:val="26"/>
          <w:szCs w:val="26"/>
        </w:rPr>
        <w:t xml:space="preserve">For safety considerations, surge protection may be added to cut power in such an event. Also, ground-fault </w:t>
      </w:r>
      <w:proofErr w:type="gramStart"/>
      <w:r>
        <w:rPr>
          <w:rFonts w:ascii="ITC Bookman" w:hAnsi="ITC Bookman"/>
          <w:sz w:val="26"/>
          <w:szCs w:val="26"/>
        </w:rPr>
        <w:t>interruption  could</w:t>
      </w:r>
      <w:proofErr w:type="gramEnd"/>
      <w:r>
        <w:rPr>
          <w:rFonts w:ascii="ITC Bookman" w:hAnsi="ITC Bookman"/>
          <w:sz w:val="26"/>
          <w:szCs w:val="26"/>
        </w:rPr>
        <w:t xml:space="preserve"> be implemented by measurin</w:t>
      </w:r>
      <w:r>
        <w:rPr>
          <w:rFonts w:ascii="ITC Bookman" w:hAnsi="ITC Bookman"/>
          <w:sz w:val="26"/>
          <w:szCs w:val="26"/>
        </w:rPr>
        <w:t>g return current on the neutral main line. If this current is not equal to the sum of the currents in the devices, power should be cut and a signal LED triggered.</w:t>
      </w:r>
    </w:p>
    <w:p w:rsidR="00F63372" w:rsidRDefault="00F63372">
      <w:pPr>
        <w:pStyle w:val="Textbody"/>
        <w:rPr>
          <w:rFonts w:ascii="ITC Bookman" w:hAnsi="ITC Bookman"/>
          <w:sz w:val="26"/>
          <w:szCs w:val="26"/>
          <w:u w:val="single"/>
        </w:rPr>
      </w:pPr>
    </w:p>
    <w:p w:rsidR="00F63372" w:rsidRDefault="00F651C8">
      <w:pPr>
        <w:pStyle w:val="Textbody"/>
        <w:rPr>
          <w:rFonts w:ascii="ITC Bookman" w:hAnsi="ITC Bookman"/>
          <w:sz w:val="26"/>
          <w:szCs w:val="26"/>
          <w:u w:val="single"/>
        </w:rPr>
      </w:pPr>
      <w:r>
        <w:rPr>
          <w:rFonts w:ascii="ITC Bookman" w:hAnsi="ITC Bookman"/>
          <w:sz w:val="26"/>
          <w:szCs w:val="26"/>
        </w:rPr>
        <w:t>Time permitting, an on-board battery powered clock could be added to the unit. Then users c</w:t>
      </w:r>
      <w:r>
        <w:rPr>
          <w:rFonts w:ascii="ITC Bookman" w:hAnsi="ITC Bookman"/>
          <w:sz w:val="26"/>
          <w:szCs w:val="26"/>
        </w:rPr>
        <w:t>ould set the time and schedule times for devices to turn off/on throughout the day.</w:t>
      </w:r>
    </w:p>
    <w:p w:rsidR="00F63372" w:rsidRDefault="00F63372">
      <w:pPr>
        <w:pStyle w:val="Textbody"/>
        <w:rPr>
          <w:rFonts w:ascii="ITC Bookman" w:hAnsi="ITC Bookman"/>
          <w:b/>
          <w:bCs/>
          <w:sz w:val="26"/>
          <w:szCs w:val="26"/>
          <w:u w:val="single"/>
        </w:rPr>
      </w:pPr>
    </w:p>
    <w:sectPr w:rsidR="00F63372">
      <w:footnotePr>
        <w:numRestart w:val="eachPage"/>
      </w:footnotePr>
      <w:endnotePr>
        <w:numFmt w:val="decimal"/>
      </w:endnotePr>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1C8" w:rsidRDefault="00F651C8">
      <w:r>
        <w:separator/>
      </w:r>
    </w:p>
  </w:endnote>
  <w:endnote w:type="continuationSeparator" w:id="0">
    <w:p w:rsidR="00F651C8" w:rsidRDefault="00F6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Thorndale AMT">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AMT">
    <w:altName w:val="Times New Roman"/>
    <w:charset w:val="00"/>
    <w:family w:val="auto"/>
    <w:pitch w:val="variable"/>
  </w:font>
  <w:font w:name="Courier">
    <w:panose1 w:val="02070409020205020404"/>
    <w:charset w:val="00"/>
    <w:family w:val="modern"/>
    <w:notTrueType/>
    <w:pitch w:val="fixed"/>
    <w:sig w:usb0="00000003" w:usb1="00000000" w:usb2="00000000" w:usb3="00000000" w:csb0="00000001" w:csb1="00000000"/>
  </w:font>
  <w:font w:name="ITC Bookman">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1C8" w:rsidRDefault="00F651C8">
      <w:r>
        <w:separator/>
      </w:r>
    </w:p>
  </w:footnote>
  <w:footnote w:type="continuationSeparator" w:id="0">
    <w:p w:rsidR="00F651C8" w:rsidRDefault="00F65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75A55"/>
    <w:multiLevelType w:val="multilevel"/>
    <w:tmpl w:val="69160388"/>
    <w:styleLink w:val="WW8Num1"/>
    <w:lvl w:ilvl="0">
      <w:numFmt w:val="bullet"/>
      <w:lvlText w:val="•"/>
      <w:lvlJc w:val="left"/>
      <w:pPr>
        <w:ind w:left="283" w:hanging="283"/>
      </w:pPr>
      <w:rPr>
        <w:rFonts w:ascii="StarSymbol" w:eastAsia="StarSymbol" w:hAnsi="StarSymbol"/>
        <w:sz w:val="18"/>
      </w:rPr>
    </w:lvl>
    <w:lvl w:ilvl="1">
      <w:numFmt w:val="bullet"/>
      <w:lvlText w:val="•"/>
      <w:lvlJc w:val="left"/>
      <w:pPr>
        <w:ind w:left="567" w:hanging="283"/>
      </w:pPr>
      <w:rPr>
        <w:rFonts w:ascii="StarSymbol" w:eastAsia="StarSymbol" w:hAnsi="StarSymbol"/>
        <w:sz w:val="18"/>
      </w:rPr>
    </w:lvl>
    <w:lvl w:ilvl="2">
      <w:numFmt w:val="bullet"/>
      <w:lvlText w:val="•"/>
      <w:lvlJc w:val="left"/>
      <w:pPr>
        <w:ind w:left="850" w:hanging="283"/>
      </w:pPr>
      <w:rPr>
        <w:rFonts w:ascii="StarSymbol" w:eastAsia="StarSymbol" w:hAnsi="StarSymbol"/>
        <w:sz w:val="18"/>
      </w:rPr>
    </w:lvl>
    <w:lvl w:ilvl="3">
      <w:numFmt w:val="bullet"/>
      <w:lvlText w:val="•"/>
      <w:lvlJc w:val="left"/>
      <w:pPr>
        <w:ind w:left="1134" w:hanging="283"/>
      </w:pPr>
      <w:rPr>
        <w:rFonts w:ascii="StarSymbol" w:eastAsia="StarSymbol" w:hAnsi="StarSymbol"/>
        <w:sz w:val="18"/>
      </w:rPr>
    </w:lvl>
    <w:lvl w:ilvl="4">
      <w:numFmt w:val="bullet"/>
      <w:lvlText w:val="•"/>
      <w:lvlJc w:val="left"/>
      <w:pPr>
        <w:ind w:left="1417" w:hanging="283"/>
      </w:pPr>
      <w:rPr>
        <w:rFonts w:ascii="StarSymbol" w:eastAsia="StarSymbol" w:hAnsi="StarSymbol"/>
        <w:sz w:val="18"/>
      </w:rPr>
    </w:lvl>
    <w:lvl w:ilvl="5">
      <w:numFmt w:val="bullet"/>
      <w:lvlText w:val="•"/>
      <w:lvlJc w:val="left"/>
      <w:pPr>
        <w:ind w:left="1701" w:hanging="283"/>
      </w:pPr>
      <w:rPr>
        <w:rFonts w:ascii="StarSymbol" w:eastAsia="StarSymbol" w:hAnsi="StarSymbol"/>
        <w:sz w:val="18"/>
      </w:rPr>
    </w:lvl>
    <w:lvl w:ilvl="6">
      <w:numFmt w:val="bullet"/>
      <w:lvlText w:val="•"/>
      <w:lvlJc w:val="left"/>
      <w:pPr>
        <w:ind w:left="1984" w:hanging="283"/>
      </w:pPr>
      <w:rPr>
        <w:rFonts w:ascii="StarSymbol" w:eastAsia="StarSymbol" w:hAnsi="StarSymbol"/>
        <w:sz w:val="18"/>
      </w:rPr>
    </w:lvl>
    <w:lvl w:ilvl="7">
      <w:numFmt w:val="bullet"/>
      <w:lvlText w:val="•"/>
      <w:lvlJc w:val="left"/>
      <w:pPr>
        <w:ind w:left="2268" w:hanging="283"/>
      </w:pPr>
      <w:rPr>
        <w:rFonts w:ascii="StarSymbol" w:eastAsia="StarSymbol" w:hAnsi="StarSymbol"/>
        <w:sz w:val="18"/>
      </w:rPr>
    </w:lvl>
    <w:lvl w:ilvl="8">
      <w:numFmt w:val="bullet"/>
      <w:lvlText w:val="•"/>
      <w:lvlJc w:val="left"/>
      <w:pPr>
        <w:ind w:left="2551" w:hanging="283"/>
      </w:pPr>
      <w:rPr>
        <w:rFonts w:ascii="StarSymbol" w:eastAsia="StarSymbol" w:hAnsi="StarSymbol"/>
        <w:sz w:val="18"/>
      </w:rPr>
    </w:lvl>
  </w:abstractNum>
  <w:abstractNum w:abstractNumId="1">
    <w:nsid w:val="561C42A1"/>
    <w:multiLevelType w:val="multilevel"/>
    <w:tmpl w:val="AE3477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attachedTemplate r:id="rId1"/>
  <w:defaultTabStop w:val="1250"/>
  <w:autoHyphenation/>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4"/>
  </w:compat>
  <w:rsids>
    <w:rsidRoot w:val="00F63372"/>
    <w:rsid w:val="001F5C23"/>
    <w:rsid w:val="00F63372"/>
    <w:rsid w:val="00F6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orndale AMT" w:eastAsia="HG Mincho Light J" w:hAnsi="Thorndale AMT" w:cs="Arial Unicode MS"/>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Salutation">
    <w:name w:val="Salutation"/>
    <w:basedOn w:val="Standard"/>
    <w:pPr>
      <w:spacing w:before="454" w:after="425"/>
    </w:pPr>
  </w:style>
  <w:style w:type="paragraph" w:styleId="Signature">
    <w:name w:val="Signature"/>
    <w:basedOn w:val="Standard"/>
    <w:pPr>
      <w:spacing w:before="482"/>
    </w:pPr>
  </w:style>
  <w:style w:type="paragraph" w:customStyle="1" w:styleId="TableContents">
    <w:name w:val="Table Contents"/>
    <w:basedOn w:val="Textbody"/>
    <w:pPr>
      <w:suppressLineNumbers/>
    </w:pPr>
  </w:style>
  <w:style w:type="paragraph" w:customStyle="1" w:styleId="Addressee">
    <w:name w:val="Addressee"/>
    <w:basedOn w:val="Standard"/>
    <w:pPr>
      <w:spacing w:after="60"/>
    </w:pPr>
  </w:style>
  <w:style w:type="paragraph" w:customStyle="1" w:styleId="Sender">
    <w:name w:val="Sender"/>
    <w:basedOn w:val="Standard"/>
    <w:pPr>
      <w:spacing w:after="60"/>
    </w:pPr>
    <w:rPr>
      <w:i/>
      <w:sz w:val="20"/>
    </w:rPr>
  </w:style>
  <w:style w:type="paragraph" w:customStyle="1" w:styleId="Senderinadresseefield">
    <w:name w:val="Sender in adressee field"/>
    <w:basedOn w:val="Standard"/>
    <w:next w:val="Standard"/>
    <w:pPr>
      <w:spacing w:after="113" w:line="200" w:lineRule="atLeast"/>
      <w:jc w:val="center"/>
    </w:pPr>
    <w:rPr>
      <w:sz w:val="12"/>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WW8Num1z0">
    <w:name w:val="WW8Num1z0"/>
    <w:rPr>
      <w:rFonts w:ascii="StarSymbol" w:eastAsia="StarSymbol" w:hAnsi="StarSymbol"/>
      <w:sz w:val="18"/>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orndale AMT" w:eastAsia="HG Mincho Light J" w:hAnsi="Thorndale AMT" w:cs="Arial Unicode MS"/>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Salutation">
    <w:name w:val="Salutation"/>
    <w:basedOn w:val="Standard"/>
    <w:pPr>
      <w:spacing w:before="454" w:after="425"/>
    </w:pPr>
  </w:style>
  <w:style w:type="paragraph" w:styleId="Signature">
    <w:name w:val="Signature"/>
    <w:basedOn w:val="Standard"/>
    <w:pPr>
      <w:spacing w:before="482"/>
    </w:pPr>
  </w:style>
  <w:style w:type="paragraph" w:customStyle="1" w:styleId="TableContents">
    <w:name w:val="Table Contents"/>
    <w:basedOn w:val="Textbody"/>
    <w:pPr>
      <w:suppressLineNumbers/>
    </w:pPr>
  </w:style>
  <w:style w:type="paragraph" w:customStyle="1" w:styleId="Addressee">
    <w:name w:val="Addressee"/>
    <w:basedOn w:val="Standard"/>
    <w:pPr>
      <w:spacing w:after="60"/>
    </w:pPr>
  </w:style>
  <w:style w:type="paragraph" w:customStyle="1" w:styleId="Sender">
    <w:name w:val="Sender"/>
    <w:basedOn w:val="Standard"/>
    <w:pPr>
      <w:spacing w:after="60"/>
    </w:pPr>
    <w:rPr>
      <w:i/>
      <w:sz w:val="20"/>
    </w:rPr>
  </w:style>
  <w:style w:type="paragraph" w:customStyle="1" w:styleId="Senderinadresseefield">
    <w:name w:val="Sender in adressee field"/>
    <w:basedOn w:val="Standard"/>
    <w:next w:val="Standard"/>
    <w:pPr>
      <w:spacing w:after="113" w:line="200" w:lineRule="atLeast"/>
      <w:jc w:val="center"/>
    </w:pPr>
    <w:rPr>
      <w:sz w:val="12"/>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WW8Num1z0">
    <w:name w:val="WW8Num1z0"/>
    <w:rPr>
      <w:rFonts w:ascii="StarSymbol" w:eastAsia="StarSymbol" w:hAnsi="StarSymbol"/>
      <w:sz w:val="18"/>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thunder_clap@electronics.ca" TargetMode="External"/><Relationship Id="rId4" Type="http://schemas.openxmlformats.org/officeDocument/2006/relationships/settings" Target="settings.xml"/><Relationship Id="rId9" Type="http://schemas.openxmlformats.org/officeDocument/2006/relationships/hyperlink" Target="mailto:eddy@mcdonald.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sr/lib/openoffice/basis3.2/share/template/en-US/officorr/project-proposal.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project-proposal.ott</Template>
  <TotalTime>1</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Lee</dc:creator>
  <cp:lastModifiedBy>Lee</cp:lastModifiedBy>
  <cp:revision>2</cp:revision>
  <cp:lastPrinted>2011-02-02T23:05:00Z</cp:lastPrinted>
  <dcterms:created xsi:type="dcterms:W3CDTF">2011-04-07T03:00:00Z</dcterms:created>
  <dcterms:modified xsi:type="dcterms:W3CDTF">2011-04-07T03:00:00Z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