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1" w:type="dxa"/>
        <w:tblLook w:val="04A0" w:firstRow="1" w:lastRow="0" w:firstColumn="1" w:lastColumn="0" w:noHBand="0" w:noVBand="1"/>
      </w:tblPr>
      <w:tblGrid>
        <w:gridCol w:w="2095"/>
        <w:gridCol w:w="2097"/>
        <w:gridCol w:w="2100"/>
        <w:gridCol w:w="2070"/>
        <w:gridCol w:w="2149"/>
      </w:tblGrid>
      <w:tr w:rsidR="004172BC" w:rsidTr="004172BC">
        <w:trPr>
          <w:trHeight w:val="696"/>
        </w:trPr>
        <w:tc>
          <w:tcPr>
            <w:tcW w:w="209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098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Стейкхолдер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207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is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St00100</w:t>
            </w:r>
          </w:p>
        </w:tc>
        <w:tc>
          <w:tcPr>
            <w:tcW w:w="2098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Курьер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доступных заказов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централизованной системы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St00100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Курьер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Выбор заказа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возможности выбора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St00100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976C10">
              <w:rPr>
                <w:lang w:val="ru-RU"/>
              </w:rPr>
              <w:t>Курьер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Бронирование заказа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бронирования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St00100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976C10">
              <w:rPr>
                <w:lang w:val="ru-RU"/>
              </w:rPr>
              <w:t>Курьер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Отметка о получении заказа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отслеживания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St00100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976C10">
              <w:rPr>
                <w:lang w:val="ru-RU"/>
              </w:rPr>
              <w:t>Курьер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Отметка о доставке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подтверждения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St00100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976C10">
              <w:rPr>
                <w:lang w:val="ru-RU"/>
              </w:rPr>
              <w:t>Курьер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оплаты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расчета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st00200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836927">
              <w:t>Оператор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 заказов в систему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ввод данных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st00200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836927">
              <w:t>Оператор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Форматирование данных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Трудоемкий процесс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st00200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836927">
              <w:t>Оператор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Передача данных курьерам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Неэффективная коммуникация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st00300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194F02">
              <w:t>Диспетчер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Контроль курьеров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мониторинга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st00300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194F02">
              <w:t>Диспетчер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Переназначение заказов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управления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st00300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194F02">
              <w:t>Диспетчер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Отслеживание статусов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отслеживания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st00400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BD4DAA">
              <w:t>Бухгалтер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данных о заказах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процесс получения данных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st00400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BD4DAA">
              <w:t>Бухгалтер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Расчет с поставщиками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Трудоемкий процесс расчета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st00400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BD4DAA">
              <w:t>Бухгалтер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Расчет оплаты курьеров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Сложный процесс расчета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st00500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8F733B">
              <w:t>Администратор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Регистрация курьеров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05FF1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управления пользователями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st00500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8F733B">
              <w:t>Администратор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 прав доступа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управления правами</w:t>
            </w:r>
          </w:p>
        </w:tc>
      </w:tr>
      <w:tr w:rsidR="004172BC" w:rsidTr="004172BC">
        <w:trPr>
          <w:trHeight w:val="696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st00600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826515">
              <w:t>Поставщик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Передача информации о заказах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Разные форматы данных</w:t>
            </w:r>
          </w:p>
        </w:tc>
      </w:tr>
      <w:tr w:rsidR="004172BC" w:rsidTr="004172BC">
        <w:trPr>
          <w:trHeight w:val="661"/>
        </w:trPr>
        <w:tc>
          <w:tcPr>
            <w:tcW w:w="2097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 w:rsidRPr="004172BC">
              <w:rPr>
                <w:lang w:val="en-US"/>
              </w:rPr>
              <w:t>st00600</w:t>
            </w:r>
          </w:p>
        </w:tc>
        <w:tc>
          <w:tcPr>
            <w:tcW w:w="2098" w:type="dxa"/>
          </w:tcPr>
          <w:p w:rsidR="004172BC" w:rsidRDefault="004172BC" w:rsidP="00405FF1">
            <w:pPr>
              <w:jc w:val="center"/>
            </w:pPr>
            <w:r w:rsidRPr="00826515">
              <w:t>Поставщик</w:t>
            </w:r>
          </w:p>
        </w:tc>
        <w:tc>
          <w:tcPr>
            <w:tcW w:w="2100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оплаты</w:t>
            </w:r>
          </w:p>
        </w:tc>
        <w:tc>
          <w:tcPr>
            <w:tcW w:w="2077" w:type="dxa"/>
          </w:tcPr>
          <w:p w:rsidR="004172BC" w:rsidRPr="004172BC" w:rsidRDefault="004172BC" w:rsidP="00405F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</w:tcPr>
          <w:p w:rsidR="004172BC" w:rsidRDefault="004172BC" w:rsidP="00405FF1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Задержки в расчетах</w:t>
            </w:r>
          </w:p>
        </w:tc>
      </w:tr>
    </w:tbl>
    <w:p w:rsidR="009C6DEA" w:rsidRPr="009C6DEA" w:rsidRDefault="009C6DEA">
      <w:pPr>
        <w:rPr>
          <w:lang w:val="en-US"/>
        </w:rPr>
      </w:pPr>
    </w:p>
    <w:sectPr w:rsidR="009C6DEA" w:rsidRPr="009C6DEA" w:rsidSect="004172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A"/>
    <w:rsid w:val="00405FF1"/>
    <w:rsid w:val="004172BC"/>
    <w:rsid w:val="009C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80FEEF"/>
  <w15:chartTrackingRefBased/>
  <w15:docId w15:val="{DD5D76B3-68E4-634E-AECF-E6797143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Гаврилов</dc:creator>
  <cp:keywords/>
  <dc:description/>
  <cp:lastModifiedBy>Максим Гаврилов</cp:lastModifiedBy>
  <cp:revision>2</cp:revision>
  <dcterms:created xsi:type="dcterms:W3CDTF">2025-04-09T12:43:00Z</dcterms:created>
  <dcterms:modified xsi:type="dcterms:W3CDTF">2025-04-09T12:55:00Z</dcterms:modified>
</cp:coreProperties>
</file>