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024"/>
        <w:gridCol w:w="2038"/>
        <w:gridCol w:w="1965"/>
        <w:gridCol w:w="2389"/>
      </w:tblGrid>
      <w:tr w:rsidR="00C8721D" w:rsidTr="00C8721D">
        <w:trPr>
          <w:trHeight w:val="851"/>
        </w:trPr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Стейкхолдер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</w:tr>
      <w:tr w:rsidR="00C8721D" w:rsidRP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934783">
              <w:t>st00100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51456E">
              <w:t>Клиент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на услугу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Трудно дозвониться</w:t>
            </w:r>
            <w:r w:rsidRPr="00C8721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долгое ожидание на линии</w:t>
            </w:r>
          </w:p>
        </w:tc>
      </w:tr>
      <w:tr w:rsidR="00C8721D" w:rsidRP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934783">
              <w:t>st00100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51456E">
              <w:t>Клиент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Перенос записи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Требуется личное присутствие или звонок</w:t>
            </w:r>
          </w:p>
        </w:tc>
      </w:tr>
      <w:tr w:rsid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934783">
              <w:t>st00100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51456E">
              <w:t>Клиент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напоминания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автоматических напоминаний</w:t>
            </w:r>
          </w:p>
        </w:tc>
      </w:tr>
      <w:tr w:rsid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934783">
              <w:t>st00100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51456E">
              <w:t>Клиент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Оценка услуги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возможности оставить отзыв</w:t>
            </w:r>
          </w:p>
        </w:tc>
      </w:tr>
      <w:tr w:rsidR="00C8721D" w:rsidRP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3A06EF">
              <w:t>st00200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241B47">
              <w:t>Менеджер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Прием звонков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Большая нагрузка на телефонную линию</w:t>
            </w:r>
          </w:p>
        </w:tc>
      </w:tr>
      <w:tr w:rsidR="00C8721D" w:rsidRP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3A06EF">
              <w:t>st00200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241B47">
              <w:t>Менеджер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расписания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Ручное ведение расписание, риск ошибок</w:t>
            </w:r>
          </w:p>
        </w:tc>
      </w:tr>
      <w:tr w:rsidR="00C8721D" w:rsidRP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3A06EF">
              <w:t>st00200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241B47">
              <w:t>Менеджер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напоминаний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Ручная отправка СМС, трудоемкий процесс</w:t>
            </w:r>
          </w:p>
        </w:tc>
      </w:tr>
      <w:tr w:rsid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3A06EF">
              <w:t>st00200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241B47">
              <w:t>Менеджер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Прием оплаты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 приема оплаты</w:t>
            </w:r>
          </w:p>
        </w:tc>
      </w:tr>
      <w:tr w:rsid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3A06EF">
              <w:t>st00200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241B47">
              <w:t>Менеджер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данных в бухгалтерию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 передачи данных</w:t>
            </w:r>
          </w:p>
        </w:tc>
      </w:tr>
      <w:tr w:rsidR="00C8721D" w:rsidRP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066D61">
              <w:t>st00300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402472">
              <w:t>Мастер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расписания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Зависимость от менеджера для информации</w:t>
            </w:r>
          </w:p>
        </w:tc>
      </w:tr>
      <w:tr w:rsidR="00C8721D" w:rsidRP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066D61">
              <w:t>st00300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402472">
              <w:t>Мастер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записей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прямого доступа к информации</w:t>
            </w:r>
          </w:p>
        </w:tc>
      </w:tr>
      <w:tr w:rsidR="00C8721D" w:rsidRPr="0098756B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066D61">
              <w:t>st00300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402472">
              <w:t>Мастер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отзывов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54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доступа</w:t>
            </w:r>
            <w:r w:rsidR="0098756B">
              <w:rPr>
                <w:lang w:val="ru-RU"/>
              </w:rPr>
              <w:t xml:space="preserve"> к отзывам клиентов</w:t>
            </w:r>
          </w:p>
        </w:tc>
      </w:tr>
      <w:tr w:rsid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F65787">
              <w:t>st00400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FF4598">
              <w:t>Бухгалтер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данных об оплатах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98756B" w:rsidRDefault="0098756B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 получения данных</w:t>
            </w:r>
          </w:p>
        </w:tc>
      </w:tr>
      <w:tr w:rsidR="00C8721D" w:rsidTr="00C8721D">
        <w:trPr>
          <w:trHeight w:val="851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F65787">
              <w:t>st00400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FF4598">
              <w:t>Бухгалтер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Обработка финансовых данных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54" w:type="dxa"/>
          </w:tcPr>
          <w:p w:rsidR="00C8721D" w:rsidRPr="0098756B" w:rsidRDefault="0098756B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 обработки</w:t>
            </w:r>
          </w:p>
        </w:tc>
      </w:tr>
      <w:tr w:rsid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A50B42">
              <w:t>st00500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BD13D9">
              <w:t>Руководство сети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эффективности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54" w:type="dxa"/>
          </w:tcPr>
          <w:p w:rsidR="00C8721D" w:rsidRPr="0098756B" w:rsidRDefault="0098756B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автоматизированной отчетности</w:t>
            </w:r>
          </w:p>
        </w:tc>
      </w:tr>
      <w:tr w:rsidR="00C8721D" w:rsidTr="00C8721D">
        <w:trPr>
          <w:trHeight w:val="808"/>
        </w:trPr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A50B42">
              <w:t>st00500</w:t>
            </w:r>
          </w:p>
        </w:tc>
        <w:tc>
          <w:tcPr>
            <w:tcW w:w="2053" w:type="dxa"/>
          </w:tcPr>
          <w:p w:rsidR="00C8721D" w:rsidRDefault="00C8721D" w:rsidP="0098756B">
            <w:pPr>
              <w:jc w:val="center"/>
            </w:pPr>
            <w:r w:rsidRPr="00BD13D9">
              <w:t>Руководство сети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Контроль качества услуг</w:t>
            </w:r>
          </w:p>
        </w:tc>
        <w:tc>
          <w:tcPr>
            <w:tcW w:w="2053" w:type="dxa"/>
          </w:tcPr>
          <w:p w:rsidR="00C8721D" w:rsidRPr="00C8721D" w:rsidRDefault="00C8721D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54" w:type="dxa"/>
          </w:tcPr>
          <w:p w:rsidR="00C8721D" w:rsidRPr="0098756B" w:rsidRDefault="0098756B" w:rsidP="009875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оценки качества</w:t>
            </w:r>
          </w:p>
        </w:tc>
      </w:tr>
    </w:tbl>
    <w:p w:rsidR="005C47EA" w:rsidRPr="005C47EA" w:rsidRDefault="005C47EA">
      <w:pPr>
        <w:rPr>
          <w:lang w:val="en-US"/>
        </w:rPr>
      </w:pPr>
    </w:p>
    <w:sectPr w:rsidR="005C47EA" w:rsidRPr="005C47EA" w:rsidSect="00C8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A"/>
    <w:rsid w:val="005C47EA"/>
    <w:rsid w:val="0098756B"/>
    <w:rsid w:val="00C8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53581"/>
  <w15:chartTrackingRefBased/>
  <w15:docId w15:val="{C415520F-8070-1C41-A93A-30BD3AD4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Гаврилов</dc:creator>
  <cp:keywords/>
  <dc:description/>
  <cp:lastModifiedBy>Максим Гаврилов</cp:lastModifiedBy>
  <cp:revision>2</cp:revision>
  <dcterms:created xsi:type="dcterms:W3CDTF">2025-04-09T12:56:00Z</dcterms:created>
  <dcterms:modified xsi:type="dcterms:W3CDTF">2025-04-09T13:07:00Z</dcterms:modified>
</cp:coreProperties>
</file>