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9D7" w:rsidRPr="003079D7" w:rsidRDefault="003079D7" w:rsidP="003079D7">
      <w:pPr>
        <w:spacing w:before="100" w:beforeAutospacing="1" w:after="100" w:afterAutospacing="1" w:line="240" w:lineRule="auto"/>
        <w:outlineLvl w:val="0"/>
        <w:rPr>
          <w:rFonts w:eastAsia="Times New Roman" w:cstheme="minorHAnsi"/>
          <w:b/>
          <w:bCs/>
          <w:kern w:val="36"/>
          <w:sz w:val="48"/>
          <w:szCs w:val="48"/>
          <w:lang w:eastAsia="de-DE"/>
        </w:rPr>
      </w:pPr>
      <w:r w:rsidRPr="003079D7">
        <w:rPr>
          <w:rFonts w:eastAsia="Times New Roman" w:cstheme="minorHAnsi"/>
          <w:b/>
          <w:bCs/>
          <w:kern w:val="36"/>
          <w:sz w:val="48"/>
          <w:szCs w:val="48"/>
          <w:lang w:eastAsia="de-DE"/>
        </w:rPr>
        <w:t>Chemie - Was ist das?</w:t>
      </w:r>
    </w:p>
    <w:p w:rsidR="003079D7" w:rsidRPr="003079D7" w:rsidRDefault="003079D7" w:rsidP="003079D7">
      <w:p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Viele Gegenstände und Stoffe des Haushaltes sind Produkte der Chemie. Nachstehende Abbildungen zeigen eine kleine Auswahl.</w:t>
      </w:r>
    </w:p>
    <w:p w:rsidR="003079D7" w:rsidRPr="003079D7" w:rsidRDefault="003079D7" w:rsidP="003079D7">
      <w:p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noProof/>
          <w:sz w:val="24"/>
          <w:szCs w:val="24"/>
          <w:lang w:eastAsia="de-DE"/>
        </w:rPr>
        <w:drawing>
          <wp:inline distT="0" distB="0" distL="0" distR="0">
            <wp:extent cx="2381250" cy="1781175"/>
            <wp:effectExtent l="0" t="0" r="0" b="9525"/>
            <wp:docPr id="4" name="Grafik 4"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shaltschemikali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extent cx="2381250" cy="1781175"/>
            <wp:effectExtent l="0" t="0" r="0" b="9525"/>
            <wp:docPr id="3" name="Grafik 3"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ushaltschemikal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extent cx="2381250" cy="1781175"/>
            <wp:effectExtent l="0" t="0" r="0" b="9525"/>
            <wp:docPr id="2" name="Grafik 2"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ushaltschemikal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r w:rsidRPr="003079D7">
        <w:rPr>
          <w:rFonts w:eastAsia="Times New Roman" w:cstheme="minorHAnsi"/>
          <w:noProof/>
          <w:sz w:val="24"/>
          <w:szCs w:val="24"/>
          <w:lang w:eastAsia="de-DE"/>
        </w:rPr>
        <w:drawing>
          <wp:inline distT="0" distB="0" distL="0" distR="0">
            <wp:extent cx="2381250" cy="1781175"/>
            <wp:effectExtent l="0" t="0" r="0" b="9525"/>
            <wp:docPr id="1" name="Grafik 1" descr="Haushaltschemik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ushaltschemikali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p w:rsidR="003079D7" w:rsidRPr="003079D7" w:rsidRDefault="003079D7" w:rsidP="003079D7">
      <w:pPr>
        <w:spacing w:before="100" w:beforeAutospacing="1" w:after="100" w:afterAutospacing="1" w:line="240" w:lineRule="auto"/>
        <w:rPr>
          <w:rFonts w:eastAsia="Times New Roman" w:cstheme="minorHAnsi"/>
          <w:b/>
          <w:sz w:val="24"/>
          <w:szCs w:val="24"/>
          <w:lang w:eastAsia="de-DE"/>
        </w:rPr>
      </w:pPr>
      <w:r w:rsidRPr="003079D7">
        <w:rPr>
          <w:rFonts w:eastAsia="Times New Roman" w:cstheme="minorHAnsi"/>
          <w:b/>
          <w:sz w:val="24"/>
          <w:szCs w:val="24"/>
          <w:lang w:eastAsia="de-DE"/>
        </w:rPr>
        <w:t>Aufgaben:</w:t>
      </w:r>
    </w:p>
    <w:p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Um welche Erzeugnisse handelt es sich bei den jeweiligen Abbildungen?</w:t>
      </w:r>
      <w:r>
        <w:rPr>
          <w:rFonts w:eastAsia="Times New Roman" w:cstheme="minorHAnsi"/>
          <w:sz w:val="24"/>
          <w:szCs w:val="24"/>
          <w:lang w:eastAsia="de-DE"/>
        </w:rPr>
        <w:t xml:space="preserve"> Benenne die Gruppen.</w:t>
      </w:r>
    </w:p>
    <w:p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Nenne weitere Erzeugnisse</w:t>
      </w:r>
      <w:r w:rsidR="003D43C3">
        <w:rPr>
          <w:rFonts w:eastAsia="Times New Roman" w:cstheme="minorHAnsi"/>
          <w:sz w:val="24"/>
          <w:szCs w:val="24"/>
          <w:lang w:eastAsia="de-DE"/>
        </w:rPr>
        <w:t xml:space="preserve"> aus dem Alltag</w:t>
      </w:r>
      <w:r w:rsidRPr="003079D7">
        <w:rPr>
          <w:rFonts w:eastAsia="Times New Roman" w:cstheme="minorHAnsi"/>
          <w:sz w:val="24"/>
          <w:szCs w:val="24"/>
          <w:lang w:eastAsia="de-DE"/>
        </w:rPr>
        <w:t>, die etwas mit Chemie zu tun haben!</w:t>
      </w:r>
    </w:p>
    <w:p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Erläutere an drei Beispielen Nutzen und Gefahren solcher Erzeugnisse!</w:t>
      </w:r>
    </w:p>
    <w:p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Im Alltag werden ständig chemische Experimente durchgeführt oder beobachtet, ohne dass dies eigentlich wahrgenommen wird.</w:t>
      </w:r>
      <w:r w:rsidRPr="003079D7">
        <w:rPr>
          <w:rFonts w:eastAsia="Times New Roman" w:cstheme="minorHAnsi"/>
          <w:sz w:val="24"/>
          <w:szCs w:val="24"/>
          <w:lang w:eastAsia="de-DE"/>
        </w:rPr>
        <w:br/>
      </w:r>
      <w:r w:rsidR="00DA6AF6">
        <w:rPr>
          <w:rFonts w:eastAsia="Times New Roman" w:cstheme="minorHAnsi"/>
          <w:sz w:val="24"/>
          <w:szCs w:val="24"/>
          <w:lang w:eastAsia="de-DE"/>
        </w:rPr>
        <w:t xml:space="preserve">Übertrage die </w:t>
      </w:r>
      <w:r w:rsidRPr="003079D7">
        <w:rPr>
          <w:rFonts w:eastAsia="Times New Roman" w:cstheme="minorHAnsi"/>
          <w:sz w:val="24"/>
          <w:szCs w:val="24"/>
          <w:lang w:eastAsia="de-DE"/>
        </w:rPr>
        <w:t>nachstehende Tabelle</w:t>
      </w:r>
      <w:r w:rsidR="00DA6AF6">
        <w:rPr>
          <w:rFonts w:eastAsia="Times New Roman" w:cstheme="minorHAnsi"/>
          <w:sz w:val="24"/>
          <w:szCs w:val="24"/>
          <w:lang w:eastAsia="de-DE"/>
        </w:rPr>
        <w:t xml:space="preserve"> in dein Heft und ergänze mind. </w:t>
      </w:r>
      <w:r w:rsidR="00DA6FBB">
        <w:rPr>
          <w:rFonts w:eastAsia="Times New Roman" w:cstheme="minorHAnsi"/>
          <w:sz w:val="24"/>
          <w:szCs w:val="24"/>
          <w:lang w:eastAsia="de-DE"/>
        </w:rPr>
        <w:t>5</w:t>
      </w:r>
      <w:r w:rsidR="00DA6AF6">
        <w:rPr>
          <w:rFonts w:eastAsia="Times New Roman" w:cstheme="minorHAnsi"/>
          <w:sz w:val="24"/>
          <w:szCs w:val="24"/>
          <w:lang w:eastAsia="de-DE"/>
        </w:rPr>
        <w:t xml:space="preserve"> Beispiele pro Spalte</w:t>
      </w:r>
      <w:r w:rsidRPr="003079D7">
        <w:rPr>
          <w:rFonts w:eastAsia="Times New Roman" w:cstheme="minorHAnsi"/>
          <w:sz w:val="24"/>
          <w:szCs w:val="24"/>
          <w:lang w:eastAsia="de-DE"/>
        </w:rPr>
        <w:t>!</w:t>
      </w:r>
    </w:p>
    <w:tbl>
      <w:tblPr>
        <w:tblW w:w="500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726"/>
        <w:gridCol w:w="4169"/>
        <w:gridCol w:w="4169"/>
      </w:tblGrid>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numPr>
                <w:ilvl w:val="0"/>
                <w:numId w:val="1"/>
              </w:numPr>
              <w:spacing w:before="100" w:beforeAutospacing="1" w:after="100" w:afterAutospacing="1" w:line="240" w:lineRule="auto"/>
              <w:rPr>
                <w:rFonts w:eastAsia="Times New Roman" w:cstheme="minorHAnsi"/>
                <w:sz w:val="24"/>
                <w:szCs w:val="24"/>
                <w:lang w:eastAsia="de-DE"/>
              </w:rPr>
            </w:pPr>
          </w:p>
        </w:tc>
        <w:tc>
          <w:tcPr>
            <w:tcW w:w="4600" w:type="pct"/>
            <w:gridSpan w:val="2"/>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rPr>
                <w:rFonts w:eastAsia="Times New Roman" w:cstheme="minorHAnsi"/>
                <w:sz w:val="24"/>
                <w:szCs w:val="24"/>
                <w:lang w:eastAsia="de-DE"/>
              </w:rPr>
            </w:pPr>
            <w:r w:rsidRPr="003079D7">
              <w:rPr>
                <w:rFonts w:eastAsia="Times New Roman" w:cstheme="minorHAnsi"/>
                <w:sz w:val="24"/>
                <w:szCs w:val="24"/>
                <w:lang w:eastAsia="de-DE"/>
              </w:rPr>
              <w:t>Chemische Experimente, die du im Alltag</w:t>
            </w: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durchführst</w:t>
            </w:r>
          </w:p>
        </w:tc>
        <w:tc>
          <w:tcPr>
            <w:tcW w:w="23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beobachtest</w:t>
            </w: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Streichholz anzünden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Eisen rostet</w:t>
            </w: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Toastbrot verkohlen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r w:rsidRPr="003079D7">
              <w:rPr>
                <w:rFonts w:eastAsia="Times New Roman" w:cstheme="minorHAnsi"/>
                <w:sz w:val="24"/>
                <w:szCs w:val="24"/>
                <w:lang w:eastAsia="de-DE"/>
              </w:rPr>
              <w:t>Gummi wird spröde</w:t>
            </w: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jc w:val="center"/>
              <w:rPr>
                <w:rFonts w:eastAsia="Times New Roman" w:cstheme="minorHAnsi"/>
                <w:sz w:val="24"/>
                <w:szCs w:val="24"/>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rsidTr="003079D7">
        <w:tc>
          <w:tcPr>
            <w:tcW w:w="400" w:type="pct"/>
            <w:tcBorders>
              <w:top w:val="nil"/>
              <w:left w:val="nil"/>
              <w:bottom w:val="nil"/>
              <w:right w:val="single" w:sz="6" w:space="0" w:color="111111"/>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outset" w:sz="6" w:space="0" w:color="111111"/>
              <w:bottom w:val="single" w:sz="6" w:space="0" w:color="111111"/>
              <w:right w:val="outset" w:sz="6" w:space="0" w:color="111111"/>
            </w:tcBorders>
            <w:vAlign w:val="center"/>
            <w:hideMark/>
          </w:tcPr>
          <w:p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outset" w:sz="6" w:space="0" w:color="111111"/>
              <w:bottom w:val="single" w:sz="6" w:space="0" w:color="111111"/>
              <w:right w:val="outset" w:sz="6" w:space="0" w:color="111111"/>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rsidTr="003079D7">
        <w:tc>
          <w:tcPr>
            <w:tcW w:w="400" w:type="pct"/>
            <w:tcBorders>
              <w:top w:val="nil"/>
              <w:left w:val="nil"/>
              <w:bottom w:val="nil"/>
              <w:right w:val="nil"/>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c>
          <w:tcPr>
            <w:tcW w:w="2300" w:type="pct"/>
            <w:tcBorders>
              <w:top w:val="outset" w:sz="6" w:space="0" w:color="111111"/>
              <w:left w:val="nil"/>
              <w:bottom w:val="nil"/>
              <w:right w:val="nil"/>
            </w:tcBorders>
            <w:vAlign w:val="center"/>
            <w:hideMark/>
          </w:tcPr>
          <w:p w:rsidR="003079D7" w:rsidRPr="003079D7" w:rsidRDefault="003079D7" w:rsidP="003079D7">
            <w:pPr>
              <w:spacing w:after="0" w:line="240" w:lineRule="auto"/>
              <w:rPr>
                <w:rFonts w:eastAsia="Times New Roman" w:cstheme="minorHAnsi"/>
                <w:sz w:val="20"/>
                <w:szCs w:val="20"/>
                <w:lang w:eastAsia="de-DE"/>
              </w:rPr>
            </w:pPr>
          </w:p>
        </w:tc>
        <w:tc>
          <w:tcPr>
            <w:tcW w:w="2300" w:type="pct"/>
            <w:tcBorders>
              <w:top w:val="outset" w:sz="6" w:space="0" w:color="111111"/>
              <w:left w:val="nil"/>
              <w:bottom w:val="nil"/>
              <w:right w:val="nil"/>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r>
      <w:tr w:rsidR="003079D7" w:rsidRPr="003079D7" w:rsidTr="003079D7">
        <w:tc>
          <w:tcPr>
            <w:tcW w:w="400" w:type="pct"/>
            <w:tcBorders>
              <w:top w:val="nil"/>
              <w:left w:val="nil"/>
              <w:bottom w:val="nil"/>
              <w:right w:val="nil"/>
            </w:tcBorders>
            <w:vAlign w:val="center"/>
            <w:hideMark/>
          </w:tcPr>
          <w:p w:rsidR="003079D7" w:rsidRPr="003079D7" w:rsidRDefault="003079D7" w:rsidP="003079D7">
            <w:pPr>
              <w:spacing w:after="0" w:line="240" w:lineRule="auto"/>
              <w:jc w:val="center"/>
              <w:rPr>
                <w:rFonts w:eastAsia="Times New Roman" w:cstheme="minorHAnsi"/>
                <w:sz w:val="20"/>
                <w:szCs w:val="20"/>
                <w:lang w:eastAsia="de-DE"/>
              </w:rPr>
            </w:pPr>
          </w:p>
        </w:tc>
        <w:tc>
          <w:tcPr>
            <w:tcW w:w="4600" w:type="pct"/>
            <w:gridSpan w:val="2"/>
            <w:tcBorders>
              <w:top w:val="nil"/>
              <w:left w:val="nil"/>
              <w:bottom w:val="nil"/>
              <w:right w:val="nil"/>
            </w:tcBorders>
            <w:vAlign w:val="center"/>
            <w:hideMark/>
          </w:tcPr>
          <w:p w:rsidR="003079D7" w:rsidRPr="003079D7" w:rsidRDefault="003079D7" w:rsidP="00DA6AF6">
            <w:pPr>
              <w:spacing w:before="240" w:after="100" w:afterAutospacing="1" w:line="240" w:lineRule="auto"/>
              <w:rPr>
                <w:rFonts w:eastAsia="Times New Roman" w:cstheme="minorHAnsi"/>
                <w:sz w:val="24"/>
                <w:szCs w:val="24"/>
                <w:lang w:eastAsia="de-DE"/>
              </w:rPr>
            </w:pPr>
            <w:r w:rsidRPr="003079D7">
              <w:rPr>
                <w:rFonts w:eastAsia="Times New Roman" w:cstheme="minorHAnsi"/>
                <w:sz w:val="24"/>
                <w:szCs w:val="24"/>
                <w:lang w:eastAsia="de-DE"/>
              </w:rPr>
              <w:t>Bei allen diesen Vorgängen kommt es zu einer Stoffänderung. Die zeigt sich in den veränderten Eigenschaften der beobachteten Stoffe. Daher bezeichnet man die Chemie auch als die Lehre von den Veränderungen der Stoffe.</w:t>
            </w:r>
            <w:bookmarkStart w:id="0" w:name="_GoBack"/>
            <w:bookmarkEnd w:id="0"/>
          </w:p>
        </w:tc>
      </w:tr>
    </w:tbl>
    <w:p w:rsidR="003079D7" w:rsidRPr="003079D7" w:rsidRDefault="003079D7">
      <w:pPr>
        <w:rPr>
          <w:rFonts w:cstheme="minorHAnsi"/>
        </w:rPr>
      </w:pPr>
    </w:p>
    <w:p w:rsidR="003079D7" w:rsidRPr="003079D7" w:rsidRDefault="003079D7" w:rsidP="003079D7">
      <w:pPr>
        <w:pStyle w:val="berschrift1"/>
        <w:rPr>
          <w:rFonts w:asciiTheme="minorHAnsi" w:hAnsiTheme="minorHAnsi" w:cstheme="minorHAnsi"/>
        </w:rPr>
      </w:pPr>
      <w:r w:rsidRPr="003079D7">
        <w:rPr>
          <w:rFonts w:asciiTheme="minorHAnsi" w:hAnsiTheme="minorHAnsi" w:cstheme="minorHAnsi"/>
        </w:rPr>
        <w:t>Lösungen - Chemie: Was ist das?</w:t>
      </w:r>
    </w:p>
    <w:p w:rsidR="003079D7" w:rsidRPr="003079D7" w:rsidRDefault="003079D7" w:rsidP="003079D7">
      <w:pPr>
        <w:pStyle w:val="StandardWeb"/>
        <w:rPr>
          <w:rFonts w:asciiTheme="minorHAnsi" w:hAnsiTheme="minorHAnsi" w:cstheme="minorHAnsi"/>
        </w:rPr>
      </w:pPr>
      <w:r w:rsidRPr="003079D7">
        <w:rPr>
          <w:rFonts w:asciiTheme="minorHAnsi" w:hAnsiTheme="minorHAnsi" w:cstheme="minorHAnsi"/>
        </w:rPr>
        <w:t>1.</w:t>
      </w:r>
    </w:p>
    <w:tbl>
      <w:tblPr>
        <w:tblW w:w="19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720"/>
        <w:gridCol w:w="1721"/>
      </w:tblGrid>
      <w:tr w:rsidR="003079D7" w:rsidRPr="003079D7" w:rsidTr="003079D7">
        <w:tc>
          <w:tcPr>
            <w:tcW w:w="25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b/>
                <w:bCs/>
              </w:rPr>
              <w:t>A</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b/>
                <w:bCs/>
              </w:rPr>
              <w:t>B</w:t>
            </w:r>
          </w:p>
        </w:tc>
      </w:tr>
      <w:tr w:rsidR="003079D7" w:rsidRPr="003079D7" w:rsidTr="003079D7">
        <w:tc>
          <w:tcPr>
            <w:tcW w:w="25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b/>
                <w:bCs/>
              </w:rPr>
              <w:t>C</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b/>
                <w:bCs/>
              </w:rPr>
              <w:t>D</w:t>
            </w:r>
          </w:p>
        </w:tc>
      </w:tr>
    </w:tbl>
    <w:p w:rsidR="003079D7" w:rsidRPr="003079D7" w:rsidRDefault="003079D7" w:rsidP="003079D7">
      <w:pPr>
        <w:pStyle w:val="StandardWeb"/>
        <w:rPr>
          <w:rFonts w:asciiTheme="minorHAnsi" w:hAnsiTheme="minorHAnsi" w:cstheme="minorHAnsi"/>
        </w:rPr>
      </w:pPr>
      <w:r w:rsidRPr="003079D7">
        <w:rPr>
          <w:rFonts w:asciiTheme="minorHAnsi" w:hAnsiTheme="minorHAnsi" w:cstheme="minorHAnsi"/>
        </w:rPr>
        <w:t>A: Haushaltsreiniger B: Lösungs- und Desinfektionsmittel</w:t>
      </w:r>
      <w:r w:rsidRPr="003079D7">
        <w:rPr>
          <w:rFonts w:asciiTheme="minorHAnsi" w:hAnsiTheme="minorHAnsi" w:cstheme="minorHAnsi"/>
        </w:rPr>
        <w:br/>
        <w:t>C: Körperpflegemittel D: Nahrungsergänzungsstoffe</w:t>
      </w:r>
    </w:p>
    <w:p w:rsidR="003079D7" w:rsidRPr="003079D7" w:rsidRDefault="003079D7" w:rsidP="003079D7">
      <w:pPr>
        <w:pStyle w:val="StandardWeb"/>
        <w:rPr>
          <w:rFonts w:asciiTheme="minorHAnsi" w:hAnsiTheme="minorHAnsi" w:cstheme="minorHAnsi"/>
        </w:rPr>
      </w:pPr>
      <w:r w:rsidRPr="003079D7">
        <w:rPr>
          <w:rFonts w:asciiTheme="minorHAnsi" w:hAnsiTheme="minorHAnsi" w:cstheme="minorHAnsi"/>
        </w:rPr>
        <w:t>2. Kunststoffe, Bekleidungsstoffe, Farben, Metalle, Pflanzenschutzmittel, Seifen</w:t>
      </w:r>
    </w:p>
    <w:p w:rsidR="003079D7" w:rsidRPr="003079D7" w:rsidRDefault="003079D7" w:rsidP="003079D7">
      <w:pPr>
        <w:pStyle w:val="StandardWeb"/>
        <w:rPr>
          <w:rFonts w:asciiTheme="minorHAnsi" w:hAnsiTheme="minorHAnsi" w:cstheme="minorHAnsi"/>
        </w:rPr>
      </w:pPr>
      <w:r w:rsidRPr="003079D7">
        <w:rPr>
          <w:rFonts w:asciiTheme="minorHAnsi" w:hAnsiTheme="minorHAnsi" w:cstheme="minorHAnsi"/>
        </w:rPr>
        <w:t>3.</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989"/>
        <w:gridCol w:w="2988"/>
        <w:gridCol w:w="3079"/>
      </w:tblGrid>
      <w:tr w:rsidR="003079D7" w:rsidRPr="003079D7" w:rsidTr="003079D7">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rPr>
                <w:rFonts w:cstheme="minorHAnsi"/>
              </w:rPr>
            </w:pP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sz w:val="24"/>
                <w:szCs w:val="24"/>
              </w:rPr>
            </w:pPr>
            <w:r w:rsidRPr="003079D7">
              <w:rPr>
                <w:rFonts w:cstheme="minorHAnsi"/>
              </w:rPr>
              <w:t>Nutzen</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Gefahr</w:t>
            </w:r>
          </w:p>
        </w:tc>
      </w:tr>
      <w:tr w:rsidR="003079D7" w:rsidRPr="003079D7" w:rsidTr="003079D7">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Arzneimittel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bekämpfen Krankheiten</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Nebenwirkungen</w:t>
            </w:r>
          </w:p>
        </w:tc>
      </w:tr>
      <w:tr w:rsidR="003079D7" w:rsidRPr="003079D7" w:rsidTr="003079D7">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Pflanzenschutzmittel</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bekämpfen Schadinsekten</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Giftig</w:t>
            </w:r>
          </w:p>
        </w:tc>
      </w:tr>
      <w:tr w:rsidR="003079D7" w:rsidRPr="003079D7" w:rsidTr="003079D7">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Kunststoffe</w:t>
            </w:r>
          </w:p>
        </w:tc>
        <w:tc>
          <w:tcPr>
            <w:tcW w:w="16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Baumaterialien</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rPr>
            </w:pPr>
            <w:r w:rsidRPr="003079D7">
              <w:rPr>
                <w:rFonts w:cstheme="minorHAnsi"/>
              </w:rPr>
              <w:t>Gefährlich beim Verbrennen</w:t>
            </w:r>
          </w:p>
        </w:tc>
      </w:tr>
    </w:tbl>
    <w:p w:rsidR="003079D7" w:rsidRPr="003079D7" w:rsidRDefault="003079D7" w:rsidP="003079D7">
      <w:pPr>
        <w:pStyle w:val="StandardWeb"/>
        <w:rPr>
          <w:rFonts w:asciiTheme="minorHAnsi" w:hAnsiTheme="minorHAnsi" w:cstheme="minorHAnsi"/>
        </w:rPr>
      </w:pPr>
      <w:r w:rsidRPr="003079D7">
        <w:rPr>
          <w:rFonts w:asciiTheme="minorHAnsi" w:hAnsiTheme="minorHAnsi" w:cstheme="minorHAnsi"/>
        </w:rPr>
        <w:t>4.</w:t>
      </w:r>
    </w:p>
    <w:tbl>
      <w:tblPr>
        <w:tblW w:w="500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272"/>
        <w:gridCol w:w="4623"/>
        <w:gridCol w:w="4169"/>
      </w:tblGrid>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rPr>
                <w:rFonts w:cstheme="minorHAnsi"/>
              </w:rPr>
            </w:pPr>
          </w:p>
        </w:tc>
        <w:tc>
          <w:tcPr>
            <w:tcW w:w="4850" w:type="pct"/>
            <w:gridSpan w:val="2"/>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rPr>
                <w:rFonts w:cstheme="minorHAnsi"/>
                <w:color w:val="000000"/>
                <w:sz w:val="20"/>
                <w:szCs w:val="20"/>
              </w:rPr>
            </w:pPr>
            <w:r w:rsidRPr="003079D7">
              <w:rPr>
                <w:rFonts w:cstheme="minorHAnsi"/>
                <w:color w:val="000000"/>
                <w:sz w:val="20"/>
                <w:szCs w:val="20"/>
              </w:rPr>
              <w:t>Chemische Experimente, die du im Alltag</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rPr>
                <w:rFonts w:cstheme="minorHAnsi"/>
                <w:color w:val="000000"/>
                <w:sz w:val="20"/>
                <w:szCs w:val="20"/>
              </w:rPr>
            </w:pPr>
          </w:p>
        </w:tc>
        <w:tc>
          <w:tcPr>
            <w:tcW w:w="255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durchführst</w:t>
            </w:r>
          </w:p>
        </w:tc>
        <w:tc>
          <w:tcPr>
            <w:tcW w:w="23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beobachtest</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jc w:val="center"/>
              <w:rPr>
                <w:rFonts w:cstheme="minorHAnsi"/>
                <w:color w:val="000000"/>
                <w:sz w:val="20"/>
                <w:szCs w:val="20"/>
              </w:rPr>
            </w:pP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Streichholz anzünden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Eisen rostet</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jc w:val="center"/>
              <w:rPr>
                <w:rFonts w:cstheme="minorHAnsi"/>
                <w:color w:val="000000"/>
                <w:sz w:val="20"/>
                <w:szCs w:val="20"/>
              </w:rPr>
            </w:pP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Toastbrot verkohlen</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Gummi wird spröde</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jc w:val="center"/>
              <w:rPr>
                <w:rFonts w:cstheme="minorHAnsi"/>
                <w:color w:val="000000"/>
                <w:sz w:val="20"/>
                <w:szCs w:val="20"/>
              </w:rPr>
            </w:pP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Papier verbrennt</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Holz vermodert</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jc w:val="center"/>
              <w:rPr>
                <w:rFonts w:cstheme="minorHAnsi"/>
                <w:color w:val="000000"/>
                <w:sz w:val="20"/>
                <w:szCs w:val="20"/>
              </w:rPr>
            </w:pP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Knallfrosch explodiert</w:t>
            </w:r>
          </w:p>
        </w:tc>
        <w:tc>
          <w:tcPr>
            <w:tcW w:w="2300" w:type="pct"/>
            <w:tcBorders>
              <w:top w:val="outset" w:sz="6" w:space="0" w:color="111111"/>
              <w:left w:val="outset" w:sz="6" w:space="0" w:color="111111"/>
              <w:bottom w:val="outset"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Steine verwittern</w:t>
            </w:r>
          </w:p>
        </w:tc>
      </w:tr>
      <w:tr w:rsidR="003079D7" w:rsidRPr="003079D7" w:rsidTr="003079D7">
        <w:tc>
          <w:tcPr>
            <w:tcW w:w="150" w:type="pct"/>
            <w:tcBorders>
              <w:top w:val="nil"/>
              <w:left w:val="nil"/>
              <w:bottom w:val="nil"/>
              <w:right w:val="single" w:sz="6" w:space="0" w:color="111111"/>
            </w:tcBorders>
            <w:vAlign w:val="center"/>
            <w:hideMark/>
          </w:tcPr>
          <w:p w:rsidR="003079D7" w:rsidRPr="003079D7" w:rsidRDefault="003079D7">
            <w:pPr>
              <w:jc w:val="center"/>
              <w:rPr>
                <w:rFonts w:cstheme="minorHAnsi"/>
                <w:color w:val="000000"/>
                <w:sz w:val="20"/>
                <w:szCs w:val="20"/>
              </w:rPr>
            </w:pPr>
          </w:p>
        </w:tc>
        <w:tc>
          <w:tcPr>
            <w:tcW w:w="2550" w:type="pct"/>
            <w:tcBorders>
              <w:top w:val="outset" w:sz="6" w:space="0" w:color="111111"/>
              <w:left w:val="outset" w:sz="6" w:space="0" w:color="111111"/>
              <w:bottom w:val="single"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Mofa fährt</w:t>
            </w:r>
          </w:p>
        </w:tc>
        <w:tc>
          <w:tcPr>
            <w:tcW w:w="2300" w:type="pct"/>
            <w:tcBorders>
              <w:top w:val="outset" w:sz="6" w:space="0" w:color="111111"/>
              <w:left w:val="outset" w:sz="6" w:space="0" w:color="111111"/>
              <w:bottom w:val="single" w:sz="6" w:space="0" w:color="111111"/>
              <w:right w:val="outset" w:sz="6" w:space="0" w:color="111111"/>
            </w:tcBorders>
            <w:vAlign w:val="center"/>
            <w:hideMark/>
          </w:tcPr>
          <w:p w:rsidR="003079D7" w:rsidRPr="003079D7" w:rsidRDefault="003079D7">
            <w:pPr>
              <w:jc w:val="center"/>
              <w:rPr>
                <w:rFonts w:cstheme="minorHAnsi"/>
                <w:color w:val="000000"/>
                <w:sz w:val="20"/>
                <w:szCs w:val="20"/>
              </w:rPr>
            </w:pPr>
            <w:r w:rsidRPr="003079D7">
              <w:rPr>
                <w:rFonts w:cstheme="minorHAnsi"/>
                <w:color w:val="000000"/>
                <w:sz w:val="20"/>
                <w:szCs w:val="20"/>
              </w:rPr>
              <w:t>Farben verblassen</w:t>
            </w:r>
          </w:p>
        </w:tc>
      </w:tr>
    </w:tbl>
    <w:p w:rsidR="003079D7" w:rsidRPr="003079D7" w:rsidRDefault="003079D7" w:rsidP="003079D7">
      <w:pPr>
        <w:pStyle w:val="StandardWeb"/>
        <w:rPr>
          <w:rFonts w:asciiTheme="minorHAnsi" w:hAnsiTheme="minorHAnsi" w:cstheme="minorHAnsi"/>
        </w:rPr>
      </w:pPr>
    </w:p>
    <w:sectPr w:rsidR="003079D7" w:rsidRPr="003079D7" w:rsidSect="00E17335">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0797F"/>
    <w:multiLevelType w:val="multilevel"/>
    <w:tmpl w:val="B12A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D7"/>
    <w:rsid w:val="003079D7"/>
    <w:rsid w:val="003D43C3"/>
    <w:rsid w:val="005E7896"/>
    <w:rsid w:val="005F053B"/>
    <w:rsid w:val="007034C7"/>
    <w:rsid w:val="008457A9"/>
    <w:rsid w:val="009C4B31"/>
    <w:rsid w:val="00CF4F39"/>
    <w:rsid w:val="00DA6AF6"/>
    <w:rsid w:val="00DA6FBB"/>
    <w:rsid w:val="00E173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9792E-2005-4BAC-8F70-A1130210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07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79D7"/>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3079D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07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21662">
      <w:bodyDiv w:val="1"/>
      <w:marLeft w:val="0"/>
      <w:marRight w:val="0"/>
      <w:marTop w:val="0"/>
      <w:marBottom w:val="0"/>
      <w:divBdr>
        <w:top w:val="none" w:sz="0" w:space="0" w:color="auto"/>
        <w:left w:val="none" w:sz="0" w:space="0" w:color="auto"/>
        <w:bottom w:val="none" w:sz="0" w:space="0" w:color="auto"/>
        <w:right w:val="none" w:sz="0" w:space="0" w:color="auto"/>
      </w:divBdr>
      <w:divsChild>
        <w:div w:id="1692029239">
          <w:marLeft w:val="0"/>
          <w:marRight w:val="0"/>
          <w:marTop w:val="0"/>
          <w:marBottom w:val="0"/>
          <w:divBdr>
            <w:top w:val="none" w:sz="0" w:space="0" w:color="auto"/>
            <w:left w:val="none" w:sz="0" w:space="0" w:color="auto"/>
            <w:bottom w:val="none" w:sz="0" w:space="0" w:color="auto"/>
            <w:right w:val="none" w:sz="0" w:space="0" w:color="auto"/>
          </w:divBdr>
          <w:divsChild>
            <w:div w:id="1351444994">
              <w:marLeft w:val="0"/>
              <w:marRight w:val="0"/>
              <w:marTop w:val="0"/>
              <w:marBottom w:val="0"/>
              <w:divBdr>
                <w:top w:val="none" w:sz="0" w:space="0" w:color="auto"/>
                <w:left w:val="none" w:sz="0" w:space="0" w:color="auto"/>
                <w:bottom w:val="none" w:sz="0" w:space="0" w:color="auto"/>
                <w:right w:val="none" w:sz="0" w:space="0" w:color="auto"/>
              </w:divBdr>
              <w:divsChild>
                <w:div w:id="1326081580">
                  <w:marLeft w:val="0"/>
                  <w:marRight w:val="0"/>
                  <w:marTop w:val="0"/>
                  <w:marBottom w:val="0"/>
                  <w:divBdr>
                    <w:top w:val="none" w:sz="0" w:space="0" w:color="auto"/>
                    <w:left w:val="none" w:sz="0" w:space="0" w:color="auto"/>
                    <w:bottom w:val="none" w:sz="0" w:space="0" w:color="auto"/>
                    <w:right w:val="none" w:sz="0" w:space="0" w:color="auto"/>
                  </w:divBdr>
                  <w:divsChild>
                    <w:div w:id="1053306895">
                      <w:marLeft w:val="0"/>
                      <w:marRight w:val="0"/>
                      <w:marTop w:val="0"/>
                      <w:marBottom w:val="0"/>
                      <w:divBdr>
                        <w:top w:val="none" w:sz="0" w:space="0" w:color="auto"/>
                        <w:left w:val="none" w:sz="0" w:space="0" w:color="auto"/>
                        <w:bottom w:val="none" w:sz="0" w:space="0" w:color="auto"/>
                        <w:right w:val="none" w:sz="0" w:space="0" w:color="auto"/>
                      </w:divBdr>
                      <w:divsChild>
                        <w:div w:id="20655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8055">
          <w:marLeft w:val="0"/>
          <w:marRight w:val="0"/>
          <w:marTop w:val="0"/>
          <w:marBottom w:val="0"/>
          <w:divBdr>
            <w:top w:val="none" w:sz="0" w:space="0" w:color="auto"/>
            <w:left w:val="none" w:sz="0" w:space="0" w:color="auto"/>
            <w:bottom w:val="none" w:sz="0" w:space="0" w:color="auto"/>
            <w:right w:val="none" w:sz="0" w:space="0" w:color="auto"/>
          </w:divBdr>
          <w:divsChild>
            <w:div w:id="15738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221">
      <w:bodyDiv w:val="1"/>
      <w:marLeft w:val="0"/>
      <w:marRight w:val="0"/>
      <w:marTop w:val="0"/>
      <w:marBottom w:val="0"/>
      <w:divBdr>
        <w:top w:val="none" w:sz="0" w:space="0" w:color="auto"/>
        <w:left w:val="none" w:sz="0" w:space="0" w:color="auto"/>
        <w:bottom w:val="none" w:sz="0" w:space="0" w:color="auto"/>
        <w:right w:val="none" w:sz="0" w:space="0" w:color="auto"/>
      </w:divBdr>
      <w:divsChild>
        <w:div w:id="8068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D81F0-6375-416C-8CA8-2EF88BB5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1431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2</cp:revision>
  <cp:lastPrinted>2020-09-08T11:33:00Z</cp:lastPrinted>
  <dcterms:created xsi:type="dcterms:W3CDTF">2020-10-20T15:13:00Z</dcterms:created>
  <dcterms:modified xsi:type="dcterms:W3CDTF">2020-10-20T15:13:00Z</dcterms:modified>
</cp:coreProperties>
</file>