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5F1D85" w:rsidRDefault="00856EA5">
      <w:pPr>
        <w:rPr>
          <w:b/>
          <w:sz w:val="28"/>
          <w:szCs w:val="28"/>
        </w:rPr>
      </w:pPr>
      <w:r w:rsidRPr="005F1D85">
        <w:rPr>
          <w:b/>
          <w:sz w:val="28"/>
          <w:szCs w:val="28"/>
        </w:rPr>
        <w:t>Flächenver</w:t>
      </w:r>
      <w:r w:rsidR="005F1D85">
        <w:rPr>
          <w:b/>
          <w:sz w:val="28"/>
          <w:szCs w:val="28"/>
        </w:rPr>
        <w:t>brauch</w:t>
      </w:r>
    </w:p>
    <w:p w:rsidR="00856EA5" w:rsidRPr="005F1D85" w:rsidRDefault="00856EA5">
      <w:pPr>
        <w:rPr>
          <w:i/>
        </w:rPr>
      </w:pPr>
      <w:r w:rsidRPr="005F1D85">
        <w:rPr>
          <w:i/>
        </w:rPr>
        <w:t xml:space="preserve">Einstieg: Bodenzähler, </w:t>
      </w:r>
      <w:proofErr w:type="spellStart"/>
      <w:r w:rsidRPr="005F1D85">
        <w:rPr>
          <w:i/>
        </w:rPr>
        <w:t>ppt</w:t>
      </w:r>
      <w:proofErr w:type="spellEnd"/>
      <w:r w:rsidRPr="005F1D85">
        <w:rPr>
          <w:i/>
        </w:rPr>
        <w:t>-Folie</w:t>
      </w:r>
    </w:p>
    <w:p w:rsidR="00856EA5" w:rsidRDefault="00856EA5">
      <w:pPr>
        <w:rPr>
          <w:i/>
        </w:rPr>
      </w:pPr>
      <w:r w:rsidRPr="005F1D85">
        <w:rPr>
          <w:i/>
        </w:rPr>
        <w:t>Buch S. 26/27, A8 – A10</w:t>
      </w:r>
    </w:p>
    <w:p w:rsidR="005F1D85" w:rsidRDefault="005F1D85">
      <w:pPr>
        <w:rPr>
          <w:b/>
        </w:rPr>
      </w:pPr>
      <w:r>
        <w:rPr>
          <w:b/>
        </w:rPr>
        <w:t>Definition:</w:t>
      </w:r>
    </w:p>
    <w:p w:rsidR="005F1D85" w:rsidRPr="005F1D85" w:rsidRDefault="005F1D85">
      <w:r w:rsidRPr="005F1D85">
        <w:rPr>
          <w:b/>
        </w:rPr>
        <w:t>Flächenverbrauch</w:t>
      </w:r>
      <w:r>
        <w:t xml:space="preserve"> bedeutet, dass aus unbebauter, naturbelassener oder agrar-/forstwirtschaftlicher genutzter Fläche Wohn-, Verkehrs- Gewerbeflächen sowie Infrastruktur- und Freizeiteinrichtungen entstehen. Diese Umwandlung geht einher mit einer völligen oder teilweisen </w:t>
      </w:r>
      <w:r w:rsidRPr="005F1D85">
        <w:rPr>
          <w:b/>
        </w:rPr>
        <w:t>Versiegelung</w:t>
      </w:r>
      <w:r>
        <w:t xml:space="preserve"> des Bodens, der damit in seiner Funktion beeinträchtigt oder zerstört wird. Durch diese Nutzungsänderung wird damit Fläche verbraucht. </w:t>
      </w:r>
    </w:p>
    <w:p w:rsidR="005F1D85" w:rsidRDefault="005F1D85">
      <w:pPr>
        <w:rPr>
          <w:b/>
        </w:rPr>
      </w:pPr>
    </w:p>
    <w:p w:rsidR="00856EA5" w:rsidRPr="005F1D85" w:rsidRDefault="00856EA5">
      <w:pPr>
        <w:rPr>
          <w:b/>
        </w:rPr>
      </w:pPr>
      <w:r w:rsidRPr="005F1D85">
        <w:rPr>
          <w:b/>
        </w:rPr>
        <w:t>Zu A 10: Ökologische Folgen einer Flächenversiegelung</w:t>
      </w:r>
    </w:p>
    <w:p w:rsidR="00856EA5" w:rsidRDefault="00856EA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 xml:space="preserve">Dauerhafte Zerstörung der Bodenfunktionen (Bodentiere, Belüftung, Nährstoffhaushalt) als Grundlage für Pflanzenwuchs und für die Landwirtschaft </w:t>
      </w:r>
    </w:p>
    <w:p w:rsidR="00856EA5" w:rsidRDefault="005F1D8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 xml:space="preserve">Verlust von Lebensräumen (Biotopen) für Flora und Fauna </w:t>
      </w:r>
      <w:r>
        <w:sym w:font="Wingdings" w:char="F0E0"/>
      </w:r>
      <w:r>
        <w:t xml:space="preserve"> </w:t>
      </w:r>
      <w:r w:rsidR="00856EA5">
        <w:t>Rückgang der Artenvielfalt</w:t>
      </w:r>
    </w:p>
    <w:p w:rsidR="00856EA5" w:rsidRDefault="00856EA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>Beeinträchtigung der Photosynthese</w:t>
      </w:r>
      <w:r w:rsidR="005F1D85">
        <w:t xml:space="preserve"> </w:t>
      </w:r>
      <w:r w:rsidR="005F1D85">
        <w:sym w:font="Wingdings" w:char="F0E0"/>
      </w:r>
      <w:r w:rsidR="005F1D85">
        <w:t xml:space="preserve"> Rückgang </w:t>
      </w:r>
      <w:r>
        <w:t>der Sauerstoffproduktion</w:t>
      </w:r>
      <w:r w:rsidR="005F1D85">
        <w:t xml:space="preserve"> und der Kohlenstoffdioxidaufnahme</w:t>
      </w:r>
    </w:p>
    <w:p w:rsidR="005F1D85" w:rsidRDefault="005F1D8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>Verminderung der Staubfilterwirkung von Pflanzen</w:t>
      </w:r>
    </w:p>
    <w:p w:rsidR="00856EA5" w:rsidRDefault="00856EA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>Rascher Abfluss der Niederschläge</w:t>
      </w:r>
      <w:r>
        <w:tab/>
        <w:t xml:space="preserve">  </w:t>
      </w:r>
      <w:r>
        <w:sym w:font="Wingdings" w:char="F0E0"/>
      </w:r>
      <w:r>
        <w:t xml:space="preserve"> Gefahr von Erosion und Hochwasser</w:t>
      </w:r>
    </w:p>
    <w:p w:rsidR="00856EA5" w:rsidRDefault="00856EA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 xml:space="preserve">Geringe Versickerung der Niederschläge </w:t>
      </w:r>
      <w:r>
        <w:sym w:font="Wingdings" w:char="F0E0"/>
      </w:r>
      <w:r>
        <w:t xml:space="preserve"> geringe Wiederauffüllung des Grundwasserkörpers und Absinken des Grundwasserspiegels</w:t>
      </w:r>
    </w:p>
    <w:p w:rsidR="00856EA5" w:rsidRDefault="00856EA5" w:rsidP="001B1DBA">
      <w:pPr>
        <w:pStyle w:val="Listenabsatz"/>
        <w:numPr>
          <w:ilvl w:val="0"/>
          <w:numId w:val="1"/>
        </w:numPr>
        <w:spacing w:after="120"/>
        <w:ind w:left="709" w:hanging="357"/>
        <w:contextualSpacing w:val="0"/>
      </w:pPr>
      <w:r>
        <w:t>Geringe Was</w:t>
      </w:r>
      <w:r w:rsidR="005F1D85">
        <w:t xml:space="preserve">seraufnahme und Verdunstung durch Pflanzen </w:t>
      </w:r>
      <w:r w:rsidR="005F1D85">
        <w:sym w:font="Wingdings" w:char="F0E0"/>
      </w:r>
      <w:r w:rsidR="005F1D85">
        <w:t xml:space="preserve"> Beeinträchtigung des Mikro- und Mesoklimas</w:t>
      </w:r>
    </w:p>
    <w:p w:rsidR="005F1D85" w:rsidRDefault="005F1D85" w:rsidP="005F1D85">
      <w:pPr>
        <w:ind w:left="360"/>
      </w:pPr>
    </w:p>
    <w:p w:rsidR="005F1D85" w:rsidRPr="001B1DBA" w:rsidRDefault="005F1D85" w:rsidP="005F1D85">
      <w:pPr>
        <w:ind w:left="360"/>
        <w:rPr>
          <w:b/>
        </w:rPr>
      </w:pPr>
      <w:r w:rsidRPr="001B1DBA">
        <w:rPr>
          <w:b/>
        </w:rPr>
        <w:t>Maßnahmen, um den Flächenverbrauch zu begrenzen:</w:t>
      </w:r>
    </w:p>
    <w:p w:rsidR="005F1D85" w:rsidRDefault="005F1D85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 xml:space="preserve">Flächensparende Bauweise </w:t>
      </w:r>
      <w:r>
        <w:sym w:font="Wingdings" w:char="F0E0"/>
      </w:r>
      <w:r>
        <w:t xml:space="preserve"> Erhöhung der Geschosszahl</w:t>
      </w:r>
      <w:r w:rsidR="001B1DBA">
        <w:t>, Reihen-/Doppelhäuser statt Einfamilienhäuser</w:t>
      </w:r>
    </w:p>
    <w:p w:rsidR="005F1D85" w:rsidRDefault="005F1D85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Reduktion der Überbauung durch Nebengebäude (z.B. Garagen)</w:t>
      </w:r>
    </w:p>
    <w:p w:rsidR="005F1D85" w:rsidRDefault="005F1D85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Festsetzung der zulässigen Versiegelungsm</w:t>
      </w:r>
      <w:bookmarkStart w:id="0" w:name="_GoBack"/>
      <w:bookmarkEnd w:id="0"/>
      <w:r>
        <w:t>aterialien (Teerdecken, Gebäude &gt; Pflaster, Platten &gt; Gitterrasensteine)</w:t>
      </w:r>
    </w:p>
    <w:p w:rsidR="001B1DBA" w:rsidRDefault="001B1DBA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Dachbegrünung</w:t>
      </w:r>
    </w:p>
    <w:p w:rsidR="001B1DBA" w:rsidRDefault="001B1DBA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Versickerungsmöglichkeiten für Dachflächenwasser</w:t>
      </w:r>
    </w:p>
    <w:p w:rsidR="001B1DBA" w:rsidRDefault="001B1DBA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Nachverdichtung statt Zersiedelung</w:t>
      </w:r>
    </w:p>
    <w:p w:rsidR="001B1DBA" w:rsidRDefault="001B1DBA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>
        <w:t>Wiedernutzung von Brachflächen (z.B. aus Gewerbe oder Verkehr)</w:t>
      </w:r>
    </w:p>
    <w:p w:rsidR="001B1DBA" w:rsidRDefault="001B1DBA" w:rsidP="001B1DBA">
      <w:pPr>
        <w:pStyle w:val="Listenabsatz"/>
        <w:numPr>
          <w:ilvl w:val="0"/>
          <w:numId w:val="2"/>
        </w:numPr>
        <w:spacing w:after="120"/>
        <w:ind w:left="709" w:hanging="357"/>
        <w:contextualSpacing w:val="0"/>
      </w:pPr>
      <w:r w:rsidRPr="001B1DBA">
        <w:rPr>
          <w:b/>
        </w:rPr>
        <w:t>Dezentrale Konzentration</w:t>
      </w:r>
      <w:r>
        <w:t>: Bereiche von öffentlichen und privaten Funktionen (Wirtschaftsaktivitäten, Kultur, Bildung, Infrastruktur, ÖPNV etc.) auch auf mittlere Gemeinden konzentrieren, damit möglichst wenig Verkehr entsteht und gleichwertige Lebensbedingungen geschaffen werden.</w:t>
      </w:r>
    </w:p>
    <w:sectPr w:rsidR="001B1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D1A"/>
    <w:multiLevelType w:val="hybridMultilevel"/>
    <w:tmpl w:val="A2FE6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125"/>
    <w:multiLevelType w:val="hybridMultilevel"/>
    <w:tmpl w:val="51C8EF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5"/>
    <w:rsid w:val="001B1DBA"/>
    <w:rsid w:val="005E7896"/>
    <w:rsid w:val="005F053B"/>
    <w:rsid w:val="005F1D85"/>
    <w:rsid w:val="007034C7"/>
    <w:rsid w:val="008457A9"/>
    <w:rsid w:val="00856EA5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4B26"/>
  <w15:chartTrackingRefBased/>
  <w15:docId w15:val="{B9C20B31-404D-4ED7-8696-82BC77F2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2018-04-23T14:14:00Z</dcterms:created>
  <dcterms:modified xsi:type="dcterms:W3CDTF">2018-04-23T14:43:00Z</dcterms:modified>
</cp:coreProperties>
</file>