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B2D" w:rsidRPr="00634A82" w:rsidRDefault="00234B2D" w:rsidP="00234B2D">
      <w:pPr>
        <w:ind w:left="284" w:hanging="284"/>
        <w:rPr>
          <w:rFonts w:asciiTheme="minorHAnsi" w:hAnsiTheme="minorHAnsi" w:cstheme="minorHAnsi"/>
          <w:b/>
        </w:rPr>
      </w:pPr>
      <w:r w:rsidRPr="00634A82">
        <w:rPr>
          <w:rFonts w:asciiTheme="minorHAnsi" w:hAnsiTheme="minorHAnsi" w:cstheme="minorHAnsi"/>
          <w:b/>
        </w:rPr>
        <w:t>Klausur KS2</w:t>
      </w:r>
      <w:r w:rsidRPr="00634A82">
        <w:rPr>
          <w:rFonts w:asciiTheme="minorHAnsi" w:hAnsiTheme="minorHAnsi" w:cstheme="minorHAnsi"/>
          <w:b/>
        </w:rPr>
        <w:tab/>
      </w:r>
      <w:r w:rsidRPr="00634A82">
        <w:rPr>
          <w:rFonts w:asciiTheme="minorHAnsi" w:hAnsiTheme="minorHAnsi" w:cstheme="minorHAnsi"/>
          <w:b/>
        </w:rPr>
        <w:tab/>
        <w:t>Oberschlesisc</w:t>
      </w:r>
      <w:bookmarkStart w:id="0" w:name="_GoBack"/>
      <w:bookmarkEnd w:id="0"/>
      <w:r w:rsidRPr="00634A82">
        <w:rPr>
          <w:rFonts w:asciiTheme="minorHAnsi" w:hAnsiTheme="minorHAnsi" w:cstheme="minorHAnsi"/>
          <w:b/>
        </w:rPr>
        <w:t>hes Industrierevier</w:t>
      </w:r>
      <w:r w:rsidR="00241315" w:rsidRPr="00634A82">
        <w:rPr>
          <w:rFonts w:asciiTheme="minorHAnsi" w:hAnsiTheme="minorHAnsi" w:cstheme="minorHAnsi"/>
          <w:b/>
        </w:rPr>
        <w:t xml:space="preserve"> - Erwartungshorizont</w:t>
      </w:r>
    </w:p>
    <w:p w:rsidR="00234B2D" w:rsidRPr="003C3446" w:rsidRDefault="00234B2D" w:rsidP="00234B2D">
      <w:pPr>
        <w:pStyle w:val="Listenabsatz"/>
        <w:numPr>
          <w:ilvl w:val="0"/>
          <w:numId w:val="1"/>
        </w:numPr>
        <w:ind w:left="284" w:hanging="284"/>
        <w:rPr>
          <w:rFonts w:asciiTheme="minorHAnsi" w:hAnsiTheme="minorHAnsi" w:cstheme="minorHAnsi"/>
          <w:i/>
          <w:szCs w:val="24"/>
        </w:rPr>
      </w:pPr>
      <w:r w:rsidRPr="003C3446">
        <w:rPr>
          <w:rFonts w:asciiTheme="minorHAnsi" w:hAnsiTheme="minorHAnsi" w:cstheme="minorHAnsi"/>
          <w:i/>
          <w:szCs w:val="24"/>
        </w:rPr>
        <w:t xml:space="preserve">Beschreiben Sie die Lage und die </w:t>
      </w:r>
      <w:r w:rsidR="00946035" w:rsidRPr="003C3446">
        <w:rPr>
          <w:rFonts w:asciiTheme="minorHAnsi" w:hAnsiTheme="minorHAnsi" w:cstheme="minorHAnsi"/>
          <w:i/>
          <w:szCs w:val="24"/>
        </w:rPr>
        <w:t xml:space="preserve">wirtschaftliche </w:t>
      </w:r>
      <w:r w:rsidRPr="003C3446">
        <w:rPr>
          <w:rFonts w:asciiTheme="minorHAnsi" w:hAnsiTheme="minorHAnsi" w:cstheme="minorHAnsi"/>
          <w:i/>
          <w:szCs w:val="24"/>
        </w:rPr>
        <w:t>Bedeutung Schlesiens (</w:t>
      </w:r>
      <w:proofErr w:type="spellStart"/>
      <w:r w:rsidRPr="003C3446">
        <w:rPr>
          <w:rFonts w:asciiTheme="minorHAnsi" w:hAnsiTheme="minorHAnsi" w:cstheme="minorHAnsi"/>
          <w:i/>
          <w:szCs w:val="24"/>
        </w:rPr>
        <w:t>S̛las̨kie</w:t>
      </w:r>
      <w:proofErr w:type="spellEnd"/>
      <w:r w:rsidRPr="003C3446">
        <w:rPr>
          <w:rFonts w:asciiTheme="minorHAnsi" w:hAnsiTheme="minorHAnsi" w:cstheme="minorHAnsi"/>
          <w:i/>
          <w:szCs w:val="24"/>
        </w:rPr>
        <w:t xml:space="preserve">), speziell des Oberschlesischen Industriegebiets, für Polen. </w:t>
      </w:r>
      <w:r w:rsidR="00241315" w:rsidRPr="003C3446">
        <w:rPr>
          <w:rFonts w:asciiTheme="minorHAnsi" w:hAnsiTheme="minorHAnsi" w:cstheme="minorHAnsi"/>
          <w:i/>
          <w:szCs w:val="24"/>
        </w:rPr>
        <w:t>(7VP)</w:t>
      </w:r>
    </w:p>
    <w:p w:rsidR="00946035" w:rsidRPr="003C3446" w:rsidRDefault="00946035" w:rsidP="00946035">
      <w:pPr>
        <w:pStyle w:val="Listenabsatz"/>
        <w:ind w:left="284"/>
        <w:rPr>
          <w:rFonts w:asciiTheme="minorHAnsi" w:hAnsiTheme="minorHAnsi" w:cstheme="minorHAnsi"/>
          <w:szCs w:val="24"/>
        </w:rPr>
      </w:pPr>
    </w:p>
    <w:p w:rsidR="00234B2D" w:rsidRPr="003C3446" w:rsidRDefault="00234B2D" w:rsidP="00234B2D">
      <w:pPr>
        <w:pStyle w:val="Listenabsatz"/>
        <w:ind w:left="0"/>
        <w:rPr>
          <w:rFonts w:asciiTheme="minorHAnsi" w:hAnsiTheme="minorHAnsi" w:cstheme="minorHAnsi"/>
          <w:szCs w:val="24"/>
        </w:rPr>
      </w:pPr>
      <w:r w:rsidRPr="003C3446">
        <w:rPr>
          <w:rFonts w:asciiTheme="minorHAnsi" w:hAnsiTheme="minorHAnsi" w:cstheme="minorHAnsi"/>
          <w:szCs w:val="24"/>
        </w:rPr>
        <w:t>Lage: südliches Polen an der Grenze zur Tschechischen Republik und Ungarn</w:t>
      </w:r>
    </w:p>
    <w:p w:rsidR="00234B2D" w:rsidRPr="003C3446" w:rsidRDefault="00234B2D" w:rsidP="00936CEF">
      <w:pPr>
        <w:pStyle w:val="Listenabsatz"/>
        <w:ind w:left="0" w:right="-142"/>
        <w:rPr>
          <w:rFonts w:asciiTheme="minorHAnsi" w:hAnsiTheme="minorHAnsi" w:cstheme="minorHAnsi"/>
          <w:szCs w:val="24"/>
        </w:rPr>
      </w:pPr>
      <w:r w:rsidRPr="003C3446">
        <w:rPr>
          <w:rFonts w:asciiTheme="minorHAnsi" w:hAnsiTheme="minorHAnsi" w:cstheme="minorHAnsi"/>
          <w:szCs w:val="24"/>
        </w:rPr>
        <w:tab/>
        <w:t xml:space="preserve">Nächste Großstädte /Hauptstädte sind Prag, Budapest, Wien und Warschau (400km </w:t>
      </w:r>
      <w:r w:rsidRPr="003C3446">
        <w:rPr>
          <w:rFonts w:asciiTheme="minorHAnsi" w:hAnsiTheme="minorHAnsi" w:cstheme="minorHAnsi"/>
          <w:szCs w:val="24"/>
        </w:rPr>
        <w:tab/>
        <w:t xml:space="preserve">Radius), Berlin gut 500 km, periphere Lage zu den mitteleuropäischen </w:t>
      </w:r>
      <w:r w:rsidRPr="003C3446">
        <w:rPr>
          <w:rFonts w:asciiTheme="minorHAnsi" w:hAnsiTheme="minorHAnsi" w:cstheme="minorHAnsi"/>
          <w:szCs w:val="24"/>
        </w:rPr>
        <w:tab/>
        <w:t>Industriegebieten (Blaue Banane, Wirtschaftliches Herz)</w:t>
      </w:r>
      <w:r w:rsidR="00241315" w:rsidRPr="003C3446">
        <w:rPr>
          <w:rFonts w:asciiTheme="minorHAnsi" w:hAnsiTheme="minorHAnsi" w:cstheme="minorHAnsi"/>
          <w:szCs w:val="24"/>
        </w:rPr>
        <w:tab/>
      </w:r>
      <w:r w:rsidR="00241315" w:rsidRPr="003C3446">
        <w:rPr>
          <w:rFonts w:asciiTheme="minorHAnsi" w:hAnsiTheme="minorHAnsi" w:cstheme="minorHAnsi"/>
          <w:szCs w:val="24"/>
        </w:rPr>
        <w:tab/>
      </w:r>
      <w:r w:rsidR="00241315" w:rsidRPr="003C3446">
        <w:rPr>
          <w:rFonts w:asciiTheme="minorHAnsi" w:hAnsiTheme="minorHAnsi" w:cstheme="minorHAnsi"/>
          <w:szCs w:val="24"/>
        </w:rPr>
        <w:tab/>
      </w:r>
      <w:r w:rsidR="00936CEF" w:rsidRPr="003C3446">
        <w:rPr>
          <w:rFonts w:asciiTheme="minorHAnsi" w:hAnsiTheme="minorHAnsi" w:cstheme="minorHAnsi"/>
          <w:szCs w:val="24"/>
        </w:rPr>
        <w:tab/>
      </w:r>
      <w:r w:rsidR="00936CEF" w:rsidRPr="003C3446">
        <w:rPr>
          <w:rFonts w:asciiTheme="minorHAnsi" w:hAnsiTheme="minorHAnsi" w:cstheme="minorHAnsi"/>
          <w:b/>
          <w:szCs w:val="24"/>
        </w:rPr>
        <w:t xml:space="preserve">  </w:t>
      </w:r>
      <w:r w:rsidR="00241315" w:rsidRPr="003C3446">
        <w:rPr>
          <w:rFonts w:asciiTheme="minorHAnsi" w:hAnsiTheme="minorHAnsi" w:cstheme="minorHAnsi"/>
          <w:b/>
          <w:szCs w:val="24"/>
        </w:rPr>
        <w:t>(2 VP)</w:t>
      </w:r>
    </w:p>
    <w:p w:rsidR="00241315" w:rsidRPr="003C3446" w:rsidRDefault="00241315" w:rsidP="00234B2D">
      <w:pPr>
        <w:pStyle w:val="Listenabsatz"/>
        <w:ind w:left="0"/>
        <w:rPr>
          <w:rFonts w:asciiTheme="minorHAnsi" w:hAnsiTheme="minorHAnsi" w:cstheme="minorHAnsi"/>
          <w:szCs w:val="24"/>
        </w:rPr>
      </w:pPr>
    </w:p>
    <w:p w:rsidR="00234B2D" w:rsidRPr="003C3446" w:rsidRDefault="00234B2D" w:rsidP="00234B2D">
      <w:pPr>
        <w:pStyle w:val="Listenabsatz"/>
        <w:ind w:left="0"/>
        <w:rPr>
          <w:rFonts w:asciiTheme="minorHAnsi" w:hAnsiTheme="minorHAnsi" w:cstheme="minorHAnsi"/>
          <w:szCs w:val="24"/>
        </w:rPr>
      </w:pPr>
      <w:r w:rsidRPr="003C3446">
        <w:rPr>
          <w:rFonts w:asciiTheme="minorHAnsi" w:hAnsiTheme="minorHAnsi" w:cstheme="minorHAnsi"/>
          <w:szCs w:val="24"/>
        </w:rPr>
        <w:t>Bedeutung:</w:t>
      </w:r>
    </w:p>
    <w:p w:rsidR="00A31342" w:rsidRPr="003C3446" w:rsidRDefault="00A31342" w:rsidP="00762F6A">
      <w:pPr>
        <w:pStyle w:val="Listenabsatz"/>
        <w:numPr>
          <w:ilvl w:val="0"/>
          <w:numId w:val="2"/>
        </w:numPr>
        <w:rPr>
          <w:rFonts w:asciiTheme="minorHAnsi" w:hAnsiTheme="minorHAnsi" w:cstheme="minorHAnsi"/>
          <w:szCs w:val="24"/>
        </w:rPr>
      </w:pPr>
      <w:r w:rsidRPr="003C3446">
        <w:rPr>
          <w:rFonts w:asciiTheme="minorHAnsi" w:hAnsiTheme="minorHAnsi" w:cstheme="minorHAnsi"/>
          <w:szCs w:val="24"/>
        </w:rPr>
        <w:t>zweitgrößter Ballungsraum Polens (Urbanisierungsgrad 77,4% höher als in Polen 60,5%, M2)</w:t>
      </w:r>
    </w:p>
    <w:p w:rsidR="00946035" w:rsidRPr="003C3446" w:rsidRDefault="00946035" w:rsidP="00762F6A">
      <w:pPr>
        <w:pStyle w:val="Listenabsatz"/>
        <w:numPr>
          <w:ilvl w:val="0"/>
          <w:numId w:val="2"/>
        </w:numPr>
        <w:rPr>
          <w:rFonts w:asciiTheme="minorHAnsi" w:hAnsiTheme="minorHAnsi" w:cstheme="minorHAnsi"/>
          <w:szCs w:val="24"/>
        </w:rPr>
      </w:pPr>
      <w:r w:rsidRPr="003C3446">
        <w:rPr>
          <w:rFonts w:asciiTheme="minorHAnsi" w:hAnsiTheme="minorHAnsi" w:cstheme="minorHAnsi"/>
          <w:szCs w:val="24"/>
        </w:rPr>
        <w:t>BIP/Kopf mit 10400€ deutlich höher als der polnische Durchschnitt (9600€)</w:t>
      </w:r>
    </w:p>
    <w:p w:rsidR="00A31342" w:rsidRPr="003C3446" w:rsidRDefault="00A31342" w:rsidP="00762F6A">
      <w:pPr>
        <w:pStyle w:val="Listenabsatz"/>
        <w:numPr>
          <w:ilvl w:val="0"/>
          <w:numId w:val="2"/>
        </w:numPr>
        <w:rPr>
          <w:rFonts w:asciiTheme="minorHAnsi" w:hAnsiTheme="minorHAnsi" w:cstheme="minorHAnsi"/>
          <w:szCs w:val="24"/>
        </w:rPr>
      </w:pPr>
      <w:r w:rsidRPr="003C3446">
        <w:rPr>
          <w:rFonts w:asciiTheme="minorHAnsi" w:hAnsiTheme="minorHAnsi" w:cstheme="minorHAnsi"/>
          <w:szCs w:val="24"/>
        </w:rPr>
        <w:t xml:space="preserve">Rohstoffreichtum: Steinkohle und Eisenerz </w:t>
      </w:r>
      <w:r w:rsidRPr="003C3446">
        <w:rPr>
          <w:rFonts w:asciiTheme="minorHAnsi" w:hAnsiTheme="minorHAnsi" w:cstheme="minorHAnsi"/>
          <w:szCs w:val="24"/>
        </w:rPr>
        <w:sym w:font="Wingdings" w:char="F0E0"/>
      </w:r>
      <w:r w:rsidRPr="003C3446">
        <w:rPr>
          <w:rFonts w:asciiTheme="minorHAnsi" w:hAnsiTheme="minorHAnsi" w:cstheme="minorHAnsi"/>
          <w:szCs w:val="24"/>
        </w:rPr>
        <w:t xml:space="preserve"> historischer Standort für </w:t>
      </w:r>
      <w:r w:rsidR="00946035" w:rsidRPr="003C3446">
        <w:rPr>
          <w:rFonts w:asciiTheme="minorHAnsi" w:hAnsiTheme="minorHAnsi" w:cstheme="minorHAnsi"/>
          <w:szCs w:val="24"/>
        </w:rPr>
        <w:tab/>
      </w:r>
      <w:r w:rsidRPr="003C3446">
        <w:rPr>
          <w:rFonts w:asciiTheme="minorHAnsi" w:hAnsiTheme="minorHAnsi" w:cstheme="minorHAnsi"/>
          <w:szCs w:val="24"/>
        </w:rPr>
        <w:t>Schwerindustrie</w:t>
      </w:r>
    </w:p>
    <w:p w:rsidR="00A31342" w:rsidRPr="003C3446" w:rsidRDefault="00A31342" w:rsidP="00762F6A">
      <w:pPr>
        <w:pStyle w:val="Listenabsatz"/>
        <w:numPr>
          <w:ilvl w:val="0"/>
          <w:numId w:val="2"/>
        </w:numPr>
        <w:rPr>
          <w:rFonts w:asciiTheme="minorHAnsi" w:hAnsiTheme="minorHAnsi" w:cstheme="minorHAnsi"/>
          <w:szCs w:val="24"/>
        </w:rPr>
      </w:pPr>
      <w:r w:rsidRPr="003C3446">
        <w:rPr>
          <w:rFonts w:asciiTheme="minorHAnsi" w:hAnsiTheme="minorHAnsi" w:cstheme="minorHAnsi"/>
          <w:szCs w:val="24"/>
        </w:rPr>
        <w:t>Seit Beitritt in die EU 2004 Zunahme der Investitionen, auch als Empfänger von ADI</w:t>
      </w:r>
    </w:p>
    <w:p w:rsidR="00524708" w:rsidRPr="003C3446" w:rsidRDefault="00524708" w:rsidP="00524708">
      <w:pPr>
        <w:pStyle w:val="Listenabsatz"/>
        <w:numPr>
          <w:ilvl w:val="0"/>
          <w:numId w:val="2"/>
        </w:numPr>
        <w:rPr>
          <w:rFonts w:asciiTheme="minorHAnsi" w:hAnsiTheme="minorHAnsi" w:cstheme="minorHAnsi"/>
          <w:szCs w:val="24"/>
        </w:rPr>
      </w:pPr>
      <w:r w:rsidRPr="003C3446">
        <w:rPr>
          <w:rFonts w:asciiTheme="minorHAnsi" w:hAnsiTheme="minorHAnsi" w:cstheme="minorHAnsi"/>
          <w:szCs w:val="24"/>
        </w:rPr>
        <w:t>Sonderstellung:</w:t>
      </w:r>
      <w:r w:rsidR="00241315" w:rsidRPr="003C3446">
        <w:rPr>
          <w:rFonts w:asciiTheme="minorHAnsi" w:hAnsiTheme="minorHAnsi" w:cstheme="minorHAnsi"/>
          <w:szCs w:val="24"/>
        </w:rPr>
        <w:t xml:space="preserve"> </w:t>
      </w:r>
      <w:r w:rsidRPr="003C3446">
        <w:rPr>
          <w:rFonts w:asciiTheme="minorHAnsi" w:hAnsiTheme="minorHAnsi" w:cstheme="minorHAnsi"/>
          <w:szCs w:val="24"/>
        </w:rPr>
        <w:t>Etablierung einer Sonderwirtschaftszone mit speziellen Erleichterungen für Unternehmen (Steuererleichterungen, Förderung von Unternehmensgründungen und -ansiedlungen)</w:t>
      </w:r>
    </w:p>
    <w:p w:rsidR="00946035" w:rsidRPr="003C3446" w:rsidRDefault="00946035" w:rsidP="00762F6A">
      <w:pPr>
        <w:pStyle w:val="Listenabsatz"/>
        <w:numPr>
          <w:ilvl w:val="0"/>
          <w:numId w:val="3"/>
        </w:numPr>
        <w:rPr>
          <w:rFonts w:asciiTheme="minorHAnsi" w:hAnsiTheme="minorHAnsi" w:cstheme="minorHAnsi"/>
          <w:szCs w:val="24"/>
        </w:rPr>
      </w:pPr>
      <w:r w:rsidRPr="003C3446">
        <w:rPr>
          <w:rFonts w:asciiTheme="minorHAnsi" w:hAnsiTheme="minorHAnsi" w:cstheme="minorHAnsi"/>
          <w:szCs w:val="24"/>
        </w:rPr>
        <w:t xml:space="preserve">Ansiedlung und Investitionen von </w:t>
      </w:r>
      <w:proofErr w:type="spellStart"/>
      <w:r w:rsidRPr="003C3446">
        <w:rPr>
          <w:rFonts w:asciiTheme="minorHAnsi" w:hAnsiTheme="minorHAnsi" w:cstheme="minorHAnsi"/>
          <w:szCs w:val="24"/>
        </w:rPr>
        <w:t>internat</w:t>
      </w:r>
      <w:proofErr w:type="spellEnd"/>
      <w:r w:rsidRPr="003C3446">
        <w:rPr>
          <w:rFonts w:asciiTheme="minorHAnsi" w:hAnsiTheme="minorHAnsi" w:cstheme="minorHAnsi"/>
          <w:szCs w:val="24"/>
        </w:rPr>
        <w:t>. Firmen, v.a. in der Autobranche (M6)</w:t>
      </w:r>
    </w:p>
    <w:p w:rsidR="00946035" w:rsidRPr="003C3446" w:rsidRDefault="00946035" w:rsidP="00762F6A">
      <w:pPr>
        <w:pStyle w:val="Listenabsatz"/>
        <w:numPr>
          <w:ilvl w:val="0"/>
          <w:numId w:val="3"/>
        </w:numPr>
        <w:rPr>
          <w:rFonts w:asciiTheme="minorHAnsi" w:hAnsiTheme="minorHAnsi" w:cstheme="minorHAnsi"/>
          <w:szCs w:val="24"/>
        </w:rPr>
      </w:pPr>
      <w:r w:rsidRPr="003C3446">
        <w:rPr>
          <w:rFonts w:asciiTheme="minorHAnsi" w:hAnsiTheme="minorHAnsi" w:cstheme="minorHAnsi"/>
          <w:szCs w:val="24"/>
        </w:rPr>
        <w:t>Schaffung von neuen Arbeitsplätzen (vergleichsweise geringe Arbeitslosenrate (M3)</w:t>
      </w:r>
    </w:p>
    <w:p w:rsidR="00762F6A" w:rsidRPr="003C3446" w:rsidRDefault="00946035" w:rsidP="00762F6A">
      <w:pPr>
        <w:pStyle w:val="Listenabsatz"/>
        <w:numPr>
          <w:ilvl w:val="0"/>
          <w:numId w:val="3"/>
        </w:numPr>
        <w:rPr>
          <w:rFonts w:asciiTheme="minorHAnsi" w:hAnsiTheme="minorHAnsi" w:cstheme="minorHAnsi"/>
          <w:szCs w:val="24"/>
        </w:rPr>
      </w:pPr>
      <w:r w:rsidRPr="003C3446">
        <w:rPr>
          <w:rFonts w:asciiTheme="minorHAnsi" w:hAnsiTheme="minorHAnsi" w:cstheme="minorHAnsi"/>
          <w:szCs w:val="24"/>
        </w:rPr>
        <w:t xml:space="preserve">stärkeres Wachstum des BIP/Kopf seit 1997 als im </w:t>
      </w:r>
      <w:proofErr w:type="spellStart"/>
      <w:r w:rsidRPr="003C3446">
        <w:rPr>
          <w:rFonts w:asciiTheme="minorHAnsi" w:hAnsiTheme="minorHAnsi" w:cstheme="minorHAnsi"/>
          <w:szCs w:val="24"/>
        </w:rPr>
        <w:t>poln</w:t>
      </w:r>
      <w:proofErr w:type="spellEnd"/>
      <w:r w:rsidRPr="003C3446">
        <w:rPr>
          <w:rFonts w:asciiTheme="minorHAnsi" w:hAnsiTheme="minorHAnsi" w:cstheme="minorHAnsi"/>
          <w:szCs w:val="24"/>
        </w:rPr>
        <w:t>. Durchschnitt (M4), allerdings immer noch deutlich niedriger als im EU-Durchschnitt</w:t>
      </w:r>
    </w:p>
    <w:p w:rsidR="00241315" w:rsidRPr="003C3446" w:rsidRDefault="00946035" w:rsidP="00241315">
      <w:pPr>
        <w:pStyle w:val="Listenabsatz"/>
        <w:numPr>
          <w:ilvl w:val="0"/>
          <w:numId w:val="2"/>
        </w:numPr>
        <w:rPr>
          <w:rFonts w:asciiTheme="minorHAnsi" w:hAnsiTheme="minorHAnsi" w:cstheme="minorHAnsi"/>
          <w:szCs w:val="24"/>
        </w:rPr>
      </w:pPr>
      <w:r w:rsidRPr="003C3446">
        <w:rPr>
          <w:rFonts w:asciiTheme="minorHAnsi" w:hAnsiTheme="minorHAnsi" w:cstheme="minorHAnsi"/>
          <w:szCs w:val="24"/>
        </w:rPr>
        <w:t xml:space="preserve">Wirtschaftsstruktur: </w:t>
      </w:r>
      <w:r w:rsidR="00762F6A" w:rsidRPr="003C3446">
        <w:rPr>
          <w:rFonts w:asciiTheme="minorHAnsi" w:hAnsiTheme="minorHAnsi" w:cstheme="minorHAnsi"/>
          <w:szCs w:val="24"/>
        </w:rPr>
        <w:tab/>
      </w:r>
      <w:r w:rsidRPr="003C3446">
        <w:rPr>
          <w:rFonts w:asciiTheme="minorHAnsi" w:hAnsiTheme="minorHAnsi" w:cstheme="minorHAnsi"/>
          <w:szCs w:val="24"/>
        </w:rPr>
        <w:t xml:space="preserve">mehr als die Hälfte der </w:t>
      </w:r>
      <w:r w:rsidR="00921B02" w:rsidRPr="003C3446">
        <w:rPr>
          <w:rFonts w:asciiTheme="minorHAnsi" w:hAnsiTheme="minorHAnsi" w:cstheme="minorHAnsi"/>
          <w:szCs w:val="24"/>
        </w:rPr>
        <w:t>Beschäftigten in der Industrie</w:t>
      </w:r>
      <w:r w:rsidR="00762F6A" w:rsidRPr="003C3446">
        <w:rPr>
          <w:rFonts w:asciiTheme="minorHAnsi" w:hAnsiTheme="minorHAnsi" w:cstheme="minorHAnsi"/>
          <w:szCs w:val="24"/>
        </w:rPr>
        <w:t xml:space="preserve"> beschäftigt</w:t>
      </w:r>
    </w:p>
    <w:p w:rsidR="00762F6A" w:rsidRPr="003C3446" w:rsidRDefault="00762F6A" w:rsidP="00241315">
      <w:pPr>
        <w:pStyle w:val="Listenabsatz"/>
        <w:numPr>
          <w:ilvl w:val="0"/>
          <w:numId w:val="2"/>
        </w:numPr>
        <w:rPr>
          <w:rFonts w:asciiTheme="minorHAnsi" w:hAnsiTheme="minorHAnsi" w:cstheme="minorHAnsi"/>
          <w:szCs w:val="24"/>
        </w:rPr>
      </w:pPr>
      <w:r w:rsidRPr="003C3446">
        <w:rPr>
          <w:rFonts w:asciiTheme="minorHAnsi" w:hAnsiTheme="minorHAnsi" w:cstheme="minorHAnsi"/>
          <w:szCs w:val="24"/>
        </w:rPr>
        <w:t>Steinkohlebergbau in der Region noch vorhanden, in den SWZ sind Maschinenbau (Auto), Eisen- und Stahlerzeugung, Chemie/Kunststoffe und Bau dominierend.</w:t>
      </w:r>
    </w:p>
    <w:p w:rsidR="00241315" w:rsidRPr="003C3446" w:rsidRDefault="00241315" w:rsidP="00241315">
      <w:pPr>
        <w:pStyle w:val="Listenabsatz"/>
        <w:rPr>
          <w:rFonts w:asciiTheme="minorHAnsi" w:hAnsiTheme="minorHAnsi" w:cstheme="minorHAnsi"/>
          <w:szCs w:val="24"/>
        </w:rPr>
      </w:pPr>
    </w:p>
    <w:p w:rsidR="00946035" w:rsidRPr="00273B6E" w:rsidRDefault="00762F6A" w:rsidP="00273B6E">
      <w:pPr>
        <w:rPr>
          <w:rFonts w:asciiTheme="minorHAnsi" w:hAnsiTheme="minorHAnsi" w:cstheme="minorHAnsi"/>
          <w:szCs w:val="24"/>
        </w:rPr>
      </w:pPr>
      <w:r w:rsidRPr="00273B6E">
        <w:rPr>
          <w:rFonts w:asciiTheme="minorHAnsi" w:hAnsiTheme="minorHAnsi" w:cstheme="minorHAnsi"/>
          <w:b/>
          <w:szCs w:val="24"/>
        </w:rPr>
        <w:t>Fazit</w:t>
      </w:r>
      <w:r w:rsidRPr="00273B6E">
        <w:rPr>
          <w:rFonts w:asciiTheme="minorHAnsi" w:hAnsiTheme="minorHAnsi" w:cstheme="minorHAnsi"/>
          <w:szCs w:val="24"/>
        </w:rPr>
        <w:t>: Oberschlesisches Revier hat große wirtschaftliche Bedeutung für Polen, die einerseits noch aus dem Bergbau resultiert, heute v.a. durch die neuen Branchen im Zuge des Strukturwandels begründet ist.</w:t>
      </w:r>
      <w:r w:rsidR="00241315" w:rsidRPr="00273B6E">
        <w:rPr>
          <w:rFonts w:asciiTheme="minorHAnsi" w:hAnsiTheme="minorHAnsi" w:cstheme="minorHAnsi"/>
          <w:szCs w:val="24"/>
        </w:rPr>
        <w:tab/>
      </w:r>
      <w:r w:rsidR="00241315" w:rsidRPr="00273B6E">
        <w:rPr>
          <w:rFonts w:asciiTheme="minorHAnsi" w:hAnsiTheme="minorHAnsi" w:cstheme="minorHAnsi"/>
          <w:szCs w:val="24"/>
        </w:rPr>
        <w:tab/>
      </w:r>
      <w:r w:rsidR="00241315" w:rsidRPr="00273B6E">
        <w:rPr>
          <w:rFonts w:asciiTheme="minorHAnsi" w:hAnsiTheme="minorHAnsi" w:cstheme="minorHAnsi"/>
          <w:szCs w:val="24"/>
        </w:rPr>
        <w:tab/>
      </w:r>
      <w:r w:rsidR="00241315" w:rsidRPr="00273B6E">
        <w:rPr>
          <w:rFonts w:asciiTheme="minorHAnsi" w:hAnsiTheme="minorHAnsi" w:cstheme="minorHAnsi"/>
          <w:szCs w:val="24"/>
        </w:rPr>
        <w:tab/>
      </w:r>
      <w:r w:rsidR="00241315" w:rsidRPr="00273B6E">
        <w:rPr>
          <w:rFonts w:asciiTheme="minorHAnsi" w:hAnsiTheme="minorHAnsi" w:cstheme="minorHAnsi"/>
          <w:szCs w:val="24"/>
        </w:rPr>
        <w:tab/>
      </w:r>
      <w:r w:rsidR="00273B6E">
        <w:rPr>
          <w:rFonts w:asciiTheme="minorHAnsi" w:hAnsiTheme="minorHAnsi" w:cstheme="minorHAnsi"/>
          <w:szCs w:val="24"/>
        </w:rPr>
        <w:tab/>
        <w:t xml:space="preserve">             </w:t>
      </w:r>
      <w:r w:rsidR="00936CEF" w:rsidRPr="00273B6E">
        <w:rPr>
          <w:rFonts w:asciiTheme="minorHAnsi" w:hAnsiTheme="minorHAnsi" w:cstheme="minorHAnsi"/>
          <w:szCs w:val="24"/>
        </w:rPr>
        <w:t xml:space="preserve">            </w:t>
      </w:r>
      <w:r w:rsidR="00241315" w:rsidRPr="00273B6E">
        <w:rPr>
          <w:rFonts w:asciiTheme="minorHAnsi" w:hAnsiTheme="minorHAnsi" w:cstheme="minorHAnsi"/>
          <w:b/>
          <w:szCs w:val="24"/>
        </w:rPr>
        <w:t>(</w:t>
      </w:r>
      <w:r w:rsidR="00273B6E" w:rsidRPr="00273B6E">
        <w:rPr>
          <w:rFonts w:asciiTheme="minorHAnsi" w:hAnsiTheme="minorHAnsi" w:cstheme="minorHAnsi"/>
          <w:b/>
          <w:szCs w:val="24"/>
        </w:rPr>
        <w:t>6</w:t>
      </w:r>
      <w:r w:rsidR="00241315" w:rsidRPr="00273B6E">
        <w:rPr>
          <w:rFonts w:asciiTheme="minorHAnsi" w:hAnsiTheme="minorHAnsi" w:cstheme="minorHAnsi"/>
          <w:b/>
          <w:szCs w:val="24"/>
        </w:rPr>
        <w:t xml:space="preserve"> VP)</w:t>
      </w:r>
    </w:p>
    <w:p w:rsidR="00234B2D" w:rsidRPr="003C3446" w:rsidRDefault="00762F6A" w:rsidP="00234B2D">
      <w:pPr>
        <w:pStyle w:val="Listenabsatz"/>
        <w:ind w:left="0"/>
        <w:rPr>
          <w:rFonts w:asciiTheme="minorHAnsi" w:hAnsiTheme="minorHAnsi" w:cstheme="minorHAnsi"/>
          <w:szCs w:val="24"/>
        </w:rPr>
      </w:pPr>
      <w:r w:rsidRPr="003C3446">
        <w:rPr>
          <w:rFonts w:asciiTheme="minorHAnsi" w:hAnsiTheme="minorHAnsi" w:cstheme="minorHAnsi"/>
          <w:szCs w:val="24"/>
        </w:rPr>
        <w:t xml:space="preserve">Ggf. auch Infrastruktur, </w:t>
      </w:r>
      <w:r w:rsidR="00524708" w:rsidRPr="003C3446">
        <w:rPr>
          <w:rFonts w:asciiTheme="minorHAnsi" w:hAnsiTheme="minorHAnsi" w:cstheme="minorHAnsi"/>
          <w:szCs w:val="24"/>
        </w:rPr>
        <w:t>Verkehrslinien zu den europäischen Wirtschaftsregionen, wichtige Städte</w:t>
      </w:r>
    </w:p>
    <w:p w:rsidR="00234B2D" w:rsidRPr="003C3446" w:rsidRDefault="00234B2D" w:rsidP="00234B2D">
      <w:pPr>
        <w:pStyle w:val="Listenabsatz"/>
        <w:ind w:left="0"/>
        <w:rPr>
          <w:rFonts w:asciiTheme="minorHAnsi" w:hAnsiTheme="minorHAnsi" w:cstheme="minorHAnsi"/>
          <w:szCs w:val="24"/>
        </w:rPr>
      </w:pPr>
    </w:p>
    <w:p w:rsidR="00234B2D" w:rsidRPr="00273B6E" w:rsidRDefault="00234B2D" w:rsidP="00234B2D">
      <w:pPr>
        <w:ind w:left="284" w:hanging="284"/>
        <w:rPr>
          <w:rFonts w:asciiTheme="minorHAnsi" w:hAnsiTheme="minorHAnsi" w:cstheme="minorHAnsi"/>
          <w:i/>
          <w:szCs w:val="24"/>
        </w:rPr>
      </w:pPr>
      <w:r w:rsidRPr="00273B6E">
        <w:rPr>
          <w:rFonts w:asciiTheme="minorHAnsi" w:hAnsiTheme="minorHAnsi" w:cstheme="minorHAnsi"/>
          <w:i/>
          <w:szCs w:val="24"/>
        </w:rPr>
        <w:t xml:space="preserve">2. Erläutern Sie die Veränderung der Wirtschaftsstruktur und ihre Auswirkungen auf Schlesien. </w:t>
      </w:r>
      <w:r w:rsidR="00273B6E" w:rsidRPr="00273B6E">
        <w:rPr>
          <w:rFonts w:asciiTheme="minorHAnsi" w:hAnsiTheme="minorHAnsi" w:cstheme="minorHAnsi"/>
          <w:i/>
          <w:szCs w:val="24"/>
        </w:rPr>
        <w:t xml:space="preserve"> (7 VP)</w:t>
      </w:r>
    </w:p>
    <w:p w:rsidR="00101842" w:rsidRPr="003C3446" w:rsidRDefault="00241315" w:rsidP="00241315">
      <w:pPr>
        <w:rPr>
          <w:rFonts w:asciiTheme="minorHAnsi" w:hAnsiTheme="minorHAnsi" w:cstheme="minorHAnsi"/>
          <w:szCs w:val="24"/>
        </w:rPr>
      </w:pPr>
      <w:r w:rsidRPr="003C3446">
        <w:rPr>
          <w:rFonts w:asciiTheme="minorHAnsi" w:hAnsiTheme="minorHAnsi" w:cstheme="minorHAnsi"/>
          <w:szCs w:val="24"/>
        </w:rPr>
        <w:t xml:space="preserve">Altindustriegebiet </w:t>
      </w:r>
      <w:r w:rsidR="00101842" w:rsidRPr="003C3446">
        <w:rPr>
          <w:rFonts w:asciiTheme="minorHAnsi" w:hAnsiTheme="minorHAnsi" w:cstheme="minorHAnsi"/>
          <w:szCs w:val="24"/>
        </w:rPr>
        <w:t xml:space="preserve">(Schwer- und Montanindustrie) auf der Basis der Rohstoffe Steinkohle und Eisenerz. Nach der Öffnung zum Weltmarkt und der damit verbundenen internationalen Konkurrenz wurden 300000 Arbeitsplätze in der Industrie und dem Bergbau abgebaut. </w:t>
      </w:r>
    </w:p>
    <w:p w:rsidR="00936CEF" w:rsidRPr="003C3446" w:rsidRDefault="00101842" w:rsidP="00241315">
      <w:pPr>
        <w:rPr>
          <w:rFonts w:asciiTheme="minorHAnsi" w:hAnsiTheme="minorHAnsi" w:cstheme="minorHAnsi"/>
          <w:szCs w:val="24"/>
        </w:rPr>
      </w:pPr>
      <w:r w:rsidRPr="003C3446">
        <w:rPr>
          <w:rFonts w:asciiTheme="minorHAnsi" w:hAnsiTheme="minorHAnsi" w:cstheme="minorHAnsi"/>
          <w:szCs w:val="24"/>
        </w:rPr>
        <w:t xml:space="preserve">Seit dem Beitritt in die EU erfolgte ein </w:t>
      </w:r>
      <w:r w:rsidR="00241315" w:rsidRPr="003C3446">
        <w:rPr>
          <w:rFonts w:asciiTheme="minorHAnsi" w:hAnsiTheme="minorHAnsi" w:cstheme="minorHAnsi"/>
          <w:szCs w:val="24"/>
        </w:rPr>
        <w:t>Strukturwandel im sekundären Sektor</w:t>
      </w:r>
      <w:r w:rsidRPr="003C3446">
        <w:rPr>
          <w:rFonts w:asciiTheme="minorHAnsi" w:hAnsiTheme="minorHAnsi" w:cstheme="minorHAnsi"/>
          <w:szCs w:val="24"/>
        </w:rPr>
        <w:t xml:space="preserve"> hin</w:t>
      </w:r>
      <w:r w:rsidR="00241315" w:rsidRPr="003C3446">
        <w:rPr>
          <w:rFonts w:asciiTheme="minorHAnsi" w:hAnsiTheme="minorHAnsi" w:cstheme="minorHAnsi"/>
          <w:szCs w:val="24"/>
        </w:rPr>
        <w:t xml:space="preserve"> zu den Branchen Automobilindustrie, Bau, Chemie, Metallindustrie </w:t>
      </w:r>
      <w:r w:rsidRPr="003C3446">
        <w:rPr>
          <w:rFonts w:asciiTheme="minorHAnsi" w:hAnsiTheme="minorHAnsi" w:cstheme="minorHAnsi"/>
          <w:szCs w:val="24"/>
        </w:rPr>
        <w:t>mit Investitionen</w:t>
      </w:r>
      <w:r w:rsidR="00241315" w:rsidRPr="003C3446">
        <w:rPr>
          <w:rFonts w:asciiTheme="minorHAnsi" w:hAnsiTheme="minorHAnsi" w:cstheme="minorHAnsi"/>
          <w:szCs w:val="24"/>
        </w:rPr>
        <w:t xml:space="preserve"> internationaler Unternehmen</w:t>
      </w:r>
      <w:r w:rsidRPr="003C3446">
        <w:rPr>
          <w:rFonts w:asciiTheme="minorHAnsi" w:hAnsiTheme="minorHAnsi" w:cstheme="minorHAnsi"/>
          <w:szCs w:val="24"/>
        </w:rPr>
        <w:t>. Gefördert wurde dieser Wandel durch die</w:t>
      </w:r>
      <w:r w:rsidR="00241315" w:rsidRPr="003C3446">
        <w:rPr>
          <w:rFonts w:asciiTheme="minorHAnsi" w:hAnsiTheme="minorHAnsi" w:cstheme="minorHAnsi"/>
          <w:szCs w:val="24"/>
        </w:rPr>
        <w:t xml:space="preserve"> </w:t>
      </w:r>
      <w:r w:rsidRPr="003C3446">
        <w:rPr>
          <w:rFonts w:asciiTheme="minorHAnsi" w:hAnsiTheme="minorHAnsi" w:cstheme="minorHAnsi"/>
          <w:szCs w:val="24"/>
        </w:rPr>
        <w:t xml:space="preserve">unternehmensfreundlichen Bedingungen in der </w:t>
      </w:r>
      <w:r w:rsidR="00241315" w:rsidRPr="003C3446">
        <w:rPr>
          <w:rFonts w:asciiTheme="minorHAnsi" w:hAnsiTheme="minorHAnsi" w:cstheme="minorHAnsi"/>
          <w:szCs w:val="24"/>
        </w:rPr>
        <w:t>Sonderwirtschaftszone Kattowitz</w:t>
      </w:r>
      <w:r w:rsidRPr="003C3446">
        <w:rPr>
          <w:rFonts w:asciiTheme="minorHAnsi" w:hAnsiTheme="minorHAnsi" w:cstheme="minorHAnsi"/>
          <w:szCs w:val="24"/>
        </w:rPr>
        <w:t>.</w:t>
      </w:r>
      <w:r w:rsidR="00936CEF" w:rsidRPr="003C3446">
        <w:rPr>
          <w:rFonts w:asciiTheme="minorHAnsi" w:hAnsiTheme="minorHAnsi" w:cstheme="minorHAnsi"/>
          <w:szCs w:val="24"/>
        </w:rPr>
        <w:t xml:space="preserve"> Besonders groß sind die Investitionen in die Autoindustrie und ihren Zulieferern von ausländischen Investoren (USA).</w:t>
      </w:r>
      <w:r w:rsidRPr="003C3446">
        <w:rPr>
          <w:rFonts w:asciiTheme="minorHAnsi" w:hAnsiTheme="minorHAnsi" w:cstheme="minorHAnsi"/>
          <w:szCs w:val="24"/>
        </w:rPr>
        <w:t xml:space="preserve"> </w:t>
      </w:r>
      <w:r w:rsidR="00936CEF" w:rsidRPr="003C3446">
        <w:rPr>
          <w:rFonts w:asciiTheme="minorHAnsi" w:hAnsiTheme="minorHAnsi" w:cstheme="minorHAnsi"/>
          <w:szCs w:val="24"/>
        </w:rPr>
        <w:t xml:space="preserve">Damit konnte ein Großteil der Arbeitsplätze in der Industrie wieder hergestellt werden. Bis 2012 sind die </w:t>
      </w:r>
      <w:r w:rsidR="00936CEF" w:rsidRPr="003C3446">
        <w:rPr>
          <w:rFonts w:asciiTheme="minorHAnsi" w:hAnsiTheme="minorHAnsi" w:cstheme="minorHAnsi"/>
          <w:szCs w:val="24"/>
        </w:rPr>
        <w:lastRenderedPageBreak/>
        <w:t>Beschäftigtenzahlen wieder fast bis auf den Stand von 2000 gestiegen (M</w:t>
      </w:r>
      <w:r w:rsidR="003C3446" w:rsidRPr="003C3446">
        <w:rPr>
          <w:rFonts w:asciiTheme="minorHAnsi" w:hAnsiTheme="minorHAnsi" w:cstheme="minorHAnsi"/>
          <w:szCs w:val="24"/>
        </w:rPr>
        <w:t>6</w:t>
      </w:r>
      <w:r w:rsidR="00936CEF" w:rsidRPr="003C3446">
        <w:rPr>
          <w:rFonts w:asciiTheme="minorHAnsi" w:hAnsiTheme="minorHAnsi" w:cstheme="minorHAnsi"/>
          <w:szCs w:val="24"/>
        </w:rPr>
        <w:t xml:space="preserve">). Die Region ist ein </w:t>
      </w:r>
    </w:p>
    <w:p w:rsidR="00234B2D" w:rsidRPr="003C3446" w:rsidRDefault="00101842" w:rsidP="00936CEF">
      <w:pPr>
        <w:rPr>
          <w:rFonts w:asciiTheme="minorHAnsi" w:hAnsiTheme="minorHAnsi" w:cstheme="minorHAnsi"/>
          <w:szCs w:val="24"/>
        </w:rPr>
      </w:pPr>
      <w:r w:rsidRPr="003C3446">
        <w:rPr>
          <w:rFonts w:asciiTheme="minorHAnsi" w:hAnsiTheme="minorHAnsi" w:cstheme="minorHAnsi"/>
          <w:szCs w:val="24"/>
        </w:rPr>
        <w:t xml:space="preserve">Neue Entwicklung: </w:t>
      </w:r>
      <w:r w:rsidR="00241315" w:rsidRPr="003C3446">
        <w:rPr>
          <w:rFonts w:asciiTheme="minorHAnsi" w:hAnsiTheme="minorHAnsi" w:cstheme="minorHAnsi"/>
          <w:szCs w:val="24"/>
        </w:rPr>
        <w:t xml:space="preserve">Tertiärisierung und </w:t>
      </w:r>
      <w:r w:rsidRPr="003C3446">
        <w:rPr>
          <w:rFonts w:asciiTheme="minorHAnsi" w:hAnsiTheme="minorHAnsi" w:cstheme="minorHAnsi"/>
          <w:szCs w:val="24"/>
        </w:rPr>
        <w:t xml:space="preserve">weitere </w:t>
      </w:r>
      <w:r w:rsidR="00241315" w:rsidRPr="003C3446">
        <w:rPr>
          <w:rFonts w:asciiTheme="minorHAnsi" w:hAnsiTheme="minorHAnsi" w:cstheme="minorHAnsi"/>
          <w:szCs w:val="24"/>
        </w:rPr>
        <w:t>Diversifizierung des Standortes zu den Branchen Hochtechnologie, Logistik und unternehmensorientierten Dienstleistungen</w:t>
      </w:r>
      <w:r w:rsidRPr="003C3446">
        <w:rPr>
          <w:rFonts w:asciiTheme="minorHAnsi" w:hAnsiTheme="minorHAnsi" w:cstheme="minorHAnsi"/>
          <w:szCs w:val="24"/>
        </w:rPr>
        <w:t>.</w:t>
      </w:r>
      <w:r w:rsidR="00936CEF" w:rsidRPr="003C3446">
        <w:rPr>
          <w:rFonts w:asciiTheme="minorHAnsi" w:hAnsiTheme="minorHAnsi" w:cstheme="minorHAnsi"/>
          <w:szCs w:val="24"/>
        </w:rPr>
        <w:t xml:space="preserve"> Hierfür wird auch eine Zusammenarbeit mit Universitäten und Forschungseinrichtungen der Region angestrebt (Clusterbildung). </w:t>
      </w:r>
      <w:r w:rsidR="003C3446" w:rsidRPr="003C3446">
        <w:rPr>
          <w:rFonts w:asciiTheme="minorHAnsi" w:hAnsiTheme="minorHAnsi" w:cstheme="minorHAnsi"/>
          <w:szCs w:val="24"/>
        </w:rPr>
        <w:t xml:space="preserve">In der Branchenstruktur (M4) ist dies in den Bereichen IT-Firmen, Elektrotechnik/Elektronik und Logistik und Transport erkennbar. Die Investitionen in diesem Bereich sind jedoch sehr gering (außer Logistik, M5). </w:t>
      </w:r>
      <w:r w:rsidR="00936CEF" w:rsidRPr="003C3446">
        <w:rPr>
          <w:rFonts w:asciiTheme="minorHAnsi" w:hAnsiTheme="minorHAnsi" w:cstheme="minorHAnsi"/>
          <w:szCs w:val="24"/>
        </w:rPr>
        <w:t xml:space="preserve">Diese Entwicklung erfordert </w:t>
      </w:r>
      <w:r w:rsidR="003C3446" w:rsidRPr="003C3446">
        <w:rPr>
          <w:rFonts w:asciiTheme="minorHAnsi" w:hAnsiTheme="minorHAnsi" w:cstheme="minorHAnsi"/>
          <w:szCs w:val="24"/>
        </w:rPr>
        <w:t xml:space="preserve">jedoch </w:t>
      </w:r>
      <w:r w:rsidR="00936CEF" w:rsidRPr="003C3446">
        <w:rPr>
          <w:rFonts w:asciiTheme="minorHAnsi" w:hAnsiTheme="minorHAnsi" w:cstheme="minorHAnsi"/>
          <w:szCs w:val="24"/>
        </w:rPr>
        <w:t>hochqualifizierte Arbeitskräfte</w:t>
      </w:r>
      <w:r w:rsidR="003C3446" w:rsidRPr="003C3446">
        <w:rPr>
          <w:rFonts w:asciiTheme="minorHAnsi" w:hAnsiTheme="minorHAnsi" w:cstheme="minorHAnsi"/>
          <w:szCs w:val="24"/>
        </w:rPr>
        <w:t>, die nicht aus den eher gering qualifizierten Tätigkeiten in der Montan- oder Automobilindustrie stammen können.</w:t>
      </w:r>
      <w:r w:rsidR="00936CEF" w:rsidRPr="003C3446">
        <w:rPr>
          <w:rFonts w:asciiTheme="minorHAnsi" w:hAnsiTheme="minorHAnsi" w:cstheme="minorHAnsi"/>
          <w:szCs w:val="24"/>
        </w:rPr>
        <w:t xml:space="preserve"> </w:t>
      </w:r>
      <w:r w:rsidR="003C3446" w:rsidRPr="003C3446">
        <w:rPr>
          <w:rFonts w:asciiTheme="minorHAnsi" w:hAnsiTheme="minorHAnsi" w:cstheme="minorHAnsi"/>
          <w:szCs w:val="24"/>
        </w:rPr>
        <w:t xml:space="preserve">Die Beschäftigten im Dienstleistungssektor sind zudem seit etwa 2010 um ca. 100000 gesunken. </w:t>
      </w:r>
    </w:p>
    <w:p w:rsidR="00F72D2F" w:rsidRDefault="003C3446">
      <w:pPr>
        <w:rPr>
          <w:rFonts w:asciiTheme="minorHAnsi" w:hAnsiTheme="minorHAnsi" w:cstheme="minorHAnsi"/>
          <w:b/>
          <w:szCs w:val="24"/>
        </w:rPr>
      </w:pPr>
      <w:r w:rsidRPr="003C3446">
        <w:rPr>
          <w:rFonts w:asciiTheme="minorHAnsi" w:hAnsiTheme="minorHAnsi" w:cstheme="minorHAnsi"/>
          <w:b/>
        </w:rPr>
        <w:t>Fazit</w:t>
      </w:r>
      <w:r w:rsidRPr="003C3446">
        <w:rPr>
          <w:rFonts w:asciiTheme="minorHAnsi" w:hAnsiTheme="minorHAnsi" w:cstheme="minorHAnsi"/>
        </w:rPr>
        <w:t>: Das Oberschlesische Revier hat wie andere altindustrialisierte Räume in Europa einen Strukturwandel erfahren. Dieser erfolgte jedoch zunächst innerhalb des sekundären Sektors von der Schwer- und Montanindustrie hin zu einer Dominanz der Automobilindustrie. In jüngster Zeit werden Bestrebungen hin zu einer Tertiärisierung im Bereich der Zukunftsbranchen durch Clusterbildung deutlich.</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sidRPr="003C3446">
        <w:rPr>
          <w:rFonts w:asciiTheme="minorHAnsi" w:hAnsiTheme="minorHAnsi" w:cstheme="minorHAnsi"/>
          <w:b/>
          <w:szCs w:val="24"/>
        </w:rPr>
        <w:t>(</w:t>
      </w:r>
      <w:r w:rsidR="00273B6E">
        <w:rPr>
          <w:rFonts w:asciiTheme="minorHAnsi" w:hAnsiTheme="minorHAnsi" w:cstheme="minorHAnsi"/>
          <w:b/>
          <w:szCs w:val="24"/>
        </w:rPr>
        <w:t>7</w:t>
      </w:r>
      <w:r w:rsidRPr="003C3446">
        <w:rPr>
          <w:rFonts w:asciiTheme="minorHAnsi" w:hAnsiTheme="minorHAnsi" w:cstheme="minorHAnsi"/>
          <w:b/>
          <w:szCs w:val="24"/>
        </w:rPr>
        <w:t xml:space="preserve"> VP)</w:t>
      </w:r>
    </w:p>
    <w:p w:rsidR="00273B6E" w:rsidRDefault="00273B6E">
      <w:pPr>
        <w:rPr>
          <w:rFonts w:asciiTheme="minorHAnsi" w:hAnsiTheme="minorHAnsi" w:cstheme="minorHAnsi"/>
        </w:rPr>
      </w:pPr>
    </w:p>
    <w:p w:rsidR="00273B6E" w:rsidRPr="00634A82" w:rsidRDefault="00273B6E" w:rsidP="00273B6E">
      <w:pPr>
        <w:ind w:left="284" w:hanging="284"/>
        <w:rPr>
          <w:rFonts w:asciiTheme="minorHAnsi" w:hAnsiTheme="minorHAnsi" w:cstheme="minorHAnsi"/>
          <w:i/>
          <w:szCs w:val="24"/>
        </w:rPr>
      </w:pPr>
      <w:bookmarkStart w:id="1" w:name="_Hlk531530770"/>
      <w:r w:rsidRPr="00634A82">
        <w:rPr>
          <w:rFonts w:asciiTheme="minorHAnsi" w:hAnsiTheme="minorHAnsi" w:cstheme="minorHAnsi"/>
          <w:i/>
          <w:szCs w:val="24"/>
        </w:rPr>
        <w:t xml:space="preserve">3. </w:t>
      </w:r>
      <w:r w:rsidRPr="00634A82">
        <w:rPr>
          <w:rFonts w:asciiTheme="minorHAnsi" w:hAnsiTheme="minorHAnsi" w:cstheme="minorHAnsi"/>
          <w:i/>
          <w:szCs w:val="24"/>
        </w:rPr>
        <w:tab/>
        <w:t xml:space="preserve">Bewerten Sie die Zukunft des Standortes Oberschlesisches Industriegebiet in der EU, indem Sie die Chancen und Risiken aufzeigen. </w:t>
      </w:r>
      <w:r w:rsidR="00634A82" w:rsidRPr="00634A82">
        <w:rPr>
          <w:rFonts w:asciiTheme="minorHAnsi" w:hAnsiTheme="minorHAnsi" w:cstheme="minorHAnsi"/>
          <w:i/>
          <w:szCs w:val="24"/>
        </w:rPr>
        <w:t>(5 VP)</w:t>
      </w:r>
      <w:r w:rsidRPr="00634A82">
        <w:rPr>
          <w:rFonts w:asciiTheme="minorHAnsi" w:hAnsiTheme="minorHAnsi" w:cstheme="minorHAnsi"/>
          <w:i/>
          <w:szCs w:val="24"/>
        </w:rPr>
        <w:t xml:space="preserve"> </w:t>
      </w:r>
      <w:r w:rsidRPr="00634A82">
        <w:rPr>
          <w:rFonts w:asciiTheme="minorHAnsi" w:hAnsiTheme="minorHAnsi" w:cstheme="minorHAnsi"/>
          <w:i/>
          <w:szCs w:val="24"/>
        </w:rPr>
        <w:tab/>
      </w:r>
    </w:p>
    <w:bookmarkEnd w:id="1"/>
    <w:p w:rsidR="00273B6E" w:rsidRDefault="00273B6E">
      <w:pPr>
        <w:rPr>
          <w:rFonts w:asciiTheme="minorHAnsi" w:hAnsiTheme="minorHAnsi" w:cstheme="minorHAnsi"/>
        </w:rPr>
      </w:pPr>
      <w:r w:rsidRPr="00634A82">
        <w:rPr>
          <w:rFonts w:asciiTheme="minorHAnsi" w:hAnsiTheme="minorHAnsi" w:cstheme="minorHAnsi"/>
          <w:u w:val="single"/>
        </w:rPr>
        <w:t>Chancen</w:t>
      </w:r>
      <w:r>
        <w:rPr>
          <w:rFonts w:asciiTheme="minorHAnsi" w:hAnsiTheme="minorHAnsi" w:cstheme="minorHAnsi"/>
        </w:rPr>
        <w:t>:</w:t>
      </w:r>
    </w:p>
    <w:p w:rsidR="00273B6E" w:rsidRDefault="00273B6E">
      <w:pPr>
        <w:rPr>
          <w:rFonts w:asciiTheme="minorHAnsi" w:hAnsiTheme="minorHAnsi" w:cstheme="minorHAnsi"/>
        </w:rPr>
      </w:pPr>
      <w:r>
        <w:rPr>
          <w:rFonts w:asciiTheme="minorHAnsi" w:hAnsiTheme="minorHAnsi" w:cstheme="minorHAnsi"/>
        </w:rPr>
        <w:t>Gute infrastrukturelle Ausstattung der Region mit Anbindung zu Wirtschaftszentren trotz der eher peripheren Lage</w:t>
      </w:r>
    </w:p>
    <w:p w:rsidR="00273B6E" w:rsidRDefault="00273B6E">
      <w:pPr>
        <w:rPr>
          <w:rFonts w:asciiTheme="minorHAnsi" w:hAnsiTheme="minorHAnsi" w:cstheme="minorHAnsi"/>
        </w:rPr>
      </w:pPr>
      <w:r>
        <w:rPr>
          <w:rFonts w:asciiTheme="minorHAnsi" w:hAnsiTheme="minorHAnsi" w:cstheme="minorHAnsi"/>
        </w:rPr>
        <w:t>Brückenlage zu Ost/Südosteuropäischen Handelspartnern</w:t>
      </w:r>
    </w:p>
    <w:p w:rsidR="00273B6E" w:rsidRDefault="00273B6E">
      <w:pPr>
        <w:rPr>
          <w:rFonts w:asciiTheme="minorHAnsi" w:hAnsiTheme="minorHAnsi" w:cstheme="minorHAnsi"/>
        </w:rPr>
      </w:pPr>
      <w:r>
        <w:rPr>
          <w:rFonts w:asciiTheme="minorHAnsi" w:hAnsiTheme="minorHAnsi" w:cstheme="minorHAnsi"/>
        </w:rPr>
        <w:t>Stabile wirtschaftliche Situation mit Wachstumstendenzen (BIP/Kopf, M3, hohe Investitionen, v.a. international). Schwerpunkt ist die Autoindustrie mit Zulieferbetrieben</w:t>
      </w:r>
    </w:p>
    <w:p w:rsidR="00273B6E" w:rsidRDefault="00273B6E">
      <w:pPr>
        <w:rPr>
          <w:rFonts w:asciiTheme="minorHAnsi" w:hAnsiTheme="minorHAnsi" w:cstheme="minorHAnsi"/>
        </w:rPr>
      </w:pPr>
      <w:r>
        <w:rPr>
          <w:rFonts w:asciiTheme="minorHAnsi" w:hAnsiTheme="minorHAnsi" w:cstheme="minorHAnsi"/>
        </w:rPr>
        <w:t xml:space="preserve">Investitionen in die weitere Zukunft durch Diversifizierung geplant, um eine einseitige Industriestruktur zu vermeiden, </w:t>
      </w:r>
      <w:r w:rsidR="00F72D2F">
        <w:rPr>
          <w:rFonts w:asciiTheme="minorHAnsi" w:hAnsiTheme="minorHAnsi" w:cstheme="minorHAnsi"/>
        </w:rPr>
        <w:t xml:space="preserve">Förderung von </w:t>
      </w:r>
      <w:proofErr w:type="spellStart"/>
      <w:r w:rsidR="00F72D2F">
        <w:rPr>
          <w:rFonts w:asciiTheme="minorHAnsi" w:hAnsiTheme="minorHAnsi" w:cstheme="minorHAnsi"/>
        </w:rPr>
        <w:t>innovatioven</w:t>
      </w:r>
      <w:proofErr w:type="spellEnd"/>
      <w:r w:rsidR="00F72D2F">
        <w:rPr>
          <w:rFonts w:asciiTheme="minorHAnsi" w:hAnsiTheme="minorHAnsi" w:cstheme="minorHAnsi"/>
        </w:rPr>
        <w:t xml:space="preserve"> Branchen </w:t>
      </w:r>
      <w:r>
        <w:rPr>
          <w:rFonts w:asciiTheme="minorHAnsi" w:hAnsiTheme="minorHAnsi" w:cstheme="minorHAnsi"/>
        </w:rPr>
        <w:t>mit hochqualifizierten Arbeitsplätzen sollen zur weiteren Steigerung der Wirtschaftskraft beitragen</w:t>
      </w:r>
    </w:p>
    <w:p w:rsidR="00273B6E" w:rsidRDefault="00273B6E">
      <w:pPr>
        <w:rPr>
          <w:rFonts w:asciiTheme="minorHAnsi" w:hAnsiTheme="minorHAnsi" w:cstheme="minorHAnsi"/>
        </w:rPr>
      </w:pPr>
      <w:r w:rsidRPr="00634A82">
        <w:rPr>
          <w:rFonts w:asciiTheme="minorHAnsi" w:hAnsiTheme="minorHAnsi" w:cstheme="minorHAnsi"/>
          <w:u w:val="single"/>
        </w:rPr>
        <w:t>Risiken</w:t>
      </w:r>
      <w:r>
        <w:rPr>
          <w:rFonts w:asciiTheme="minorHAnsi" w:hAnsiTheme="minorHAnsi" w:cstheme="minorHAnsi"/>
        </w:rPr>
        <w:t>:</w:t>
      </w:r>
    </w:p>
    <w:p w:rsidR="00273B6E" w:rsidRDefault="00273B6E">
      <w:pPr>
        <w:rPr>
          <w:rFonts w:asciiTheme="minorHAnsi" w:hAnsiTheme="minorHAnsi" w:cstheme="minorHAnsi"/>
        </w:rPr>
      </w:pPr>
      <w:r>
        <w:rPr>
          <w:rFonts w:asciiTheme="minorHAnsi" w:hAnsiTheme="minorHAnsi" w:cstheme="minorHAnsi"/>
        </w:rPr>
        <w:t>Periphere Lage</w:t>
      </w:r>
      <w:r w:rsidR="00F72D2F">
        <w:rPr>
          <w:rFonts w:asciiTheme="minorHAnsi" w:hAnsiTheme="minorHAnsi" w:cstheme="minorHAnsi"/>
        </w:rPr>
        <w:t xml:space="preserve">, dadurch ggf. auch weniger attraktive sekundäre Standortfaktoren </w:t>
      </w:r>
    </w:p>
    <w:p w:rsidR="00273B6E" w:rsidRDefault="00273B6E">
      <w:pPr>
        <w:rPr>
          <w:rFonts w:asciiTheme="minorHAnsi" w:hAnsiTheme="minorHAnsi" w:cstheme="minorHAnsi"/>
        </w:rPr>
      </w:pPr>
      <w:r>
        <w:rPr>
          <w:rFonts w:asciiTheme="minorHAnsi" w:hAnsiTheme="minorHAnsi" w:cstheme="minorHAnsi"/>
        </w:rPr>
        <w:t>Dominanz der Automobilindustrie</w:t>
      </w:r>
      <w:r w:rsidR="00F72D2F">
        <w:rPr>
          <w:rFonts w:asciiTheme="minorHAnsi" w:hAnsiTheme="minorHAnsi" w:cstheme="minorHAnsi"/>
        </w:rPr>
        <w:t xml:space="preserve"> </w:t>
      </w:r>
      <w:r w:rsidR="00F72D2F" w:rsidRPr="00F72D2F">
        <w:rPr>
          <w:rFonts w:asciiTheme="minorHAnsi" w:hAnsiTheme="minorHAnsi" w:cstheme="minorHAnsi"/>
        </w:rPr>
        <w:sym w:font="Wingdings" w:char="F0E0"/>
      </w:r>
      <w:r w:rsidR="00F72D2F">
        <w:rPr>
          <w:rFonts w:asciiTheme="minorHAnsi" w:hAnsiTheme="minorHAnsi" w:cstheme="minorHAnsi"/>
        </w:rPr>
        <w:t xml:space="preserve"> krisenanfällige Monostruktur</w:t>
      </w:r>
    </w:p>
    <w:p w:rsidR="00F72D2F" w:rsidRDefault="00F72D2F">
      <w:pPr>
        <w:rPr>
          <w:rFonts w:asciiTheme="minorHAnsi" w:hAnsiTheme="minorHAnsi" w:cstheme="minorHAnsi"/>
        </w:rPr>
      </w:pPr>
      <w:r>
        <w:rPr>
          <w:rFonts w:asciiTheme="minorHAnsi" w:hAnsiTheme="minorHAnsi" w:cstheme="minorHAnsi"/>
        </w:rPr>
        <w:t xml:space="preserve">Die durch den Strukturwandel freigesetzten Arbeitskräfte aus der Montan- und Schwerindustrie, sowie ggf. der Automobilindustrie können nicht durch die neuen Industrien im Bereich der Hochtechnologie aufgefangen werden, da diese nicht ausreichend qualifiziert sind. Sichtbar ist dies </w:t>
      </w:r>
      <w:proofErr w:type="spellStart"/>
      <w:r>
        <w:rPr>
          <w:rFonts w:asciiTheme="minorHAnsi" w:hAnsiTheme="minorHAnsi" w:cstheme="minorHAnsi"/>
        </w:rPr>
        <w:t>evt.</w:t>
      </w:r>
      <w:proofErr w:type="spellEnd"/>
      <w:r>
        <w:rPr>
          <w:rFonts w:asciiTheme="minorHAnsi" w:hAnsiTheme="minorHAnsi" w:cstheme="minorHAnsi"/>
        </w:rPr>
        <w:t xml:space="preserve"> schon im Rückgang der Beschäftigten im Dienstleistungssektor. </w:t>
      </w:r>
    </w:p>
    <w:p w:rsidR="00273B6E" w:rsidRPr="004477D1" w:rsidRDefault="004477D1">
      <w:pPr>
        <w:rPr>
          <w:rFonts w:asciiTheme="minorHAnsi" w:hAnsiTheme="minorHAnsi" w:cstheme="minorHAnsi"/>
        </w:rPr>
      </w:pPr>
      <w:r>
        <w:rPr>
          <w:rFonts w:asciiTheme="minorHAnsi" w:hAnsiTheme="minorHAnsi" w:cstheme="minorHAnsi"/>
        </w:rPr>
        <w:t>Fazit: Wirtschaftlich prosperierender Wirtschaftsraum, der den Risiken der Zukunft gezielt entgegenzuwirken versucht.</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sidRPr="004477D1">
        <w:rPr>
          <w:rFonts w:asciiTheme="minorHAnsi" w:hAnsiTheme="minorHAnsi" w:cstheme="minorHAnsi"/>
          <w:b/>
        </w:rPr>
        <w:t>(5 VP)</w:t>
      </w:r>
    </w:p>
    <w:p w:rsidR="00273B6E" w:rsidRDefault="00273B6E">
      <w:pPr>
        <w:rPr>
          <w:rFonts w:asciiTheme="minorHAnsi" w:hAnsiTheme="minorHAnsi" w:cstheme="minorHAnsi"/>
        </w:rPr>
      </w:pPr>
    </w:p>
    <w:p w:rsidR="00273B6E" w:rsidRPr="004477D1" w:rsidRDefault="00273B6E" w:rsidP="004477D1">
      <w:pPr>
        <w:pStyle w:val="Listenabsatz"/>
        <w:ind w:left="0"/>
        <w:rPr>
          <w:rFonts w:asciiTheme="minorHAnsi" w:hAnsiTheme="minorHAnsi" w:cstheme="minorHAnsi"/>
          <w:szCs w:val="24"/>
        </w:rPr>
      </w:pPr>
      <w:r w:rsidRPr="003C3446">
        <w:rPr>
          <w:rFonts w:asciiTheme="minorHAnsi" w:hAnsiTheme="minorHAnsi" w:cstheme="minorHAnsi"/>
          <w:szCs w:val="24"/>
          <w:u w:val="single"/>
        </w:rPr>
        <w:t>Bewertung</w:t>
      </w:r>
      <w:r w:rsidR="004477D1">
        <w:rPr>
          <w:rFonts w:asciiTheme="minorHAnsi" w:hAnsiTheme="minorHAnsi" w:cstheme="minorHAnsi"/>
          <w:szCs w:val="24"/>
          <w:u w:val="single"/>
        </w:rPr>
        <w:t>skriterien</w:t>
      </w:r>
      <w:r w:rsidRPr="003C3446">
        <w:rPr>
          <w:rFonts w:asciiTheme="minorHAnsi" w:hAnsiTheme="minorHAnsi" w:cstheme="minorHAnsi"/>
          <w:szCs w:val="24"/>
        </w:rPr>
        <w:t>: Aspekte strukturiert, stichhaltige Belege der Aussagen aus verschiedenen Quellen, fachlich richtig, angemessene Formulierungen, Fachsprache</w:t>
      </w:r>
    </w:p>
    <w:sectPr w:rsidR="00273B6E" w:rsidRPr="004477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36CF1"/>
    <w:multiLevelType w:val="hybridMultilevel"/>
    <w:tmpl w:val="4F6AE5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CFC6EC9"/>
    <w:multiLevelType w:val="hybridMultilevel"/>
    <w:tmpl w:val="EC1EDB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D8F1316"/>
    <w:multiLevelType w:val="hybridMultilevel"/>
    <w:tmpl w:val="9F4EE372"/>
    <w:lvl w:ilvl="0" w:tplc="4C0A84DE">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DE"/>
    <w:rsid w:val="00101842"/>
    <w:rsid w:val="00234B2D"/>
    <w:rsid w:val="00241315"/>
    <w:rsid w:val="00273B6E"/>
    <w:rsid w:val="003C3446"/>
    <w:rsid w:val="004477D1"/>
    <w:rsid w:val="00524708"/>
    <w:rsid w:val="005E13CE"/>
    <w:rsid w:val="005E7896"/>
    <w:rsid w:val="005F053B"/>
    <w:rsid w:val="00634A82"/>
    <w:rsid w:val="007034C7"/>
    <w:rsid w:val="00762F6A"/>
    <w:rsid w:val="008457A9"/>
    <w:rsid w:val="00921B02"/>
    <w:rsid w:val="00936CEF"/>
    <w:rsid w:val="00946035"/>
    <w:rsid w:val="009C4B31"/>
    <w:rsid w:val="009E0038"/>
    <w:rsid w:val="00A31342"/>
    <w:rsid w:val="00B655DE"/>
    <w:rsid w:val="00F72D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1626"/>
  <w15:chartTrackingRefBased/>
  <w15:docId w15:val="{45EFB6B1-E10D-43E6-AB2A-05A49F65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34B2D"/>
    <w:pPr>
      <w:spacing w:after="120" w:line="240" w:lineRule="auto"/>
    </w:pPr>
    <w:rPr>
      <w:rFonts w:ascii="Arial" w:hAnsi="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34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774</Words>
  <Characters>4879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4</cp:revision>
  <dcterms:created xsi:type="dcterms:W3CDTF">2018-12-02T11:54:00Z</dcterms:created>
  <dcterms:modified xsi:type="dcterms:W3CDTF">2018-12-02T15:35:00Z</dcterms:modified>
</cp:coreProperties>
</file>