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DESN — PRC/PRD Self Study Questions 2026/2027</w:t>
      </w:r>
    </w:p>
    <w:p>
      <w:pPr>
        <w:spacing w:after="240"/>
      </w:pPr>
      <w:r>
        <w:rPr>
          <w:rFonts w:ascii="Times" w:hAnsi="Times" w:cs="Times"/>
          <w:sz w:val="24"/>
          <w:sz-cs w:val="24"/>
          <w:b/>
          <w:spacing w:val="0"/>
        </w:rPr>
        <w:t xml:space="preserve">Draft answers for editing — July 15, 2026.</w:t>
      </w:r>
      <w:r>
        <w:rPr>
          <w:rFonts w:ascii="Times" w:hAnsi="Times" w:cs="Times"/>
          <w:sz w:val="24"/>
          <w:sz-cs w:val="24"/>
          <w:spacing w:val="0"/>
        </w:rPr>
        <w:t xml:space="preserve"> Program name in prose: Design (DESN). Each form response is limited to </w:t>
      </w:r>
      <w:r>
        <w:rPr>
          <w:rFonts w:ascii="Times" w:hAnsi="Times" w:cs="Times"/>
          <w:sz w:val="24"/>
          <w:sz-cs w:val="24"/>
          <w:b/>
          <w:spacing w:val="0"/>
        </w:rPr>
        <w:t xml:space="preserve">1,500 characters</w:t>
      </w:r>
      <w:r>
        <w:rPr>
          <w:rFonts w:ascii="Times" w:hAnsi="Times" w:cs="Times"/>
          <w:sz w:val="24"/>
          <w:sz-cs w:val="24"/>
          <w:spacing w:val="0"/>
        </w:rPr>
        <w:t xml:space="preserve">; counts below include spaces. Answers were drafted from the DESN Dept folder evidence, EWU's 2024–2029 strategic plan, and the May 2026 LinkedIn alumni check, then fact-checked and revised through two adversarial review rounds. Reminder: the form requires your </w:t>
      </w:r>
      <w:r>
        <w:rPr>
          <w:rFonts w:ascii="Times" w:hAnsi="Times" w:cs="Times"/>
          <w:sz w:val="24"/>
          <w:sz-cs w:val="24"/>
          <w:b/>
          <w:spacing w:val="0"/>
        </w:rPr>
        <w:t xml:space="preserve">EWU email</w:t>
      </w:r>
      <w:r>
        <w:rPr>
          <w:rFonts w:ascii="Times" w:hAnsi="Times" w:cs="Times"/>
          <w:sz w:val="24"/>
          <w:sz-cs w:val="24"/>
          <w:spacing w:val="0"/>
        </w:rPr>
        <w:t xml:space="preserve"> and emails you a copy of your responses.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 Program philosophy &amp; graduate outcomes</w:t>
      </w:r>
    </w:p>
    <w:p>
      <w:pPr>
        <w:spacing w:after="240"/>
      </w:pPr>
      <w:r>
        <w:rPr>
          <w:rFonts w:ascii="Times" w:hAnsi="Times" w:cs="Times"/>
          <w:sz w:val="24"/>
          <w:sz-cs w:val="24"/>
          <w:i/>
          <w:spacing w:val="0"/>
        </w:rPr>
        <w:t xml:space="preserve">Form question: Please explain the philosophy or your program and what you would like your graduates to accomplish after they obtain their degree.</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(1,383/1,500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Design (DESN) prepares adaptive, socially conscious designers who can think, make, critique, and present across changing media environments. The Bachelor of Design (BDes) in Visual Communication Design treats design as a disciplined process rather than a styling exercise: students build visual and typographic fluency, technical range from print to web, motion, UX, and AI-assisted tools, and working methods that include systems thinking, design thinking, and inclusive design. Five program learning outcomes — Visual Vocabulary, Technical Skills, Design Methodology, Career Readiness, and Well-Being — carry through the required curriculum from the first foundations course to the community-partner capstone. Graduates leave with a professional portfolio, real client experience, and the ability to define problems, research audiences, prototype, respond to critique, and present work publicly. After the degree, we want them to practice design as a civic and economic act — responsible to real audiences, clients, and communities — and to sustain creative careers in graphic design, UX/product design, web and front-end design, motion, game design, and related fields. Just as important, we want them to carry the program's culture of well-being and mutual support into the profession: designers who mentor others, serve their region, and keep learning as the discipline evolves.</w:t>
      </w:r>
    </w:p>
    <w:p>
      <w:pPr>
        <w:spacing w:after="298"/>
      </w:pPr>
      <w:r>
        <w:rPr>
          <w:rFonts w:ascii="Times" w:hAnsi="Times" w:cs="Times"/>
          <w:sz w:val="36"/>
          <w:sz-cs w:val="36"/>
          <w:b/>
          <w:spacing w:val="0"/>
        </w:rPr>
        <w:t xml:space="preserve">2. EWU mission, vision, and values</w:t>
      </w:r>
    </w:p>
    <w:p>
      <w:pPr>
        <w:spacing w:after="240"/>
      </w:pPr>
      <w:r>
        <w:rPr>
          <w:rFonts w:ascii="Times" w:hAnsi="Times" w:cs="Times"/>
          <w:sz w:val="24"/>
          <w:sz-cs w:val="24"/>
          <w:i/>
          <w:spacing w:val="0"/>
        </w:rPr>
        <w:t xml:space="preserve">Form question: Please tell how you program degree major aligns with EWU's mission, vision, and values, and contributes to important social, economic, or cultural objectives.</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(1,473/1,500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DESN is a working model of EWU's 2024-2029 strategic plan. The university's mission promises an inclusive, equitable, and transformative learning experience; its vision emphasizes applied learning in high-demand fields; and EWU brands itself as Washington's only polytechnic, built on learning by doing. That is DESN's method: every studio is hands-on, project-based, and career-connected, and our senior capstone teams design for nonprofit, civic, tribal, educational, and environmental partners across the region. The program advances the university's values. Student Success and Accessibility: per our most recent program data, 44% of our students are first-generation and roughly 38% are students of color; the department pays for students' Adobe Creative Cloud subscriptions and caps studios at 24, so every student gets professional tools and close mentorship. Belonging: equity and inclusion are written into our learning outcomes, and faculty have served as ODEI Diversity Fellows and as affiliated Gender, Women's &amp; Sexuality Studies faculty. Regional Impact: graduates fill regional creative-workforce demand in a state whose creative economy accounts for roughly a tenth of its GDP. Sustainability: a $40,000 grant from regional firm McKinstry funded a year-long student installation interpreting the zero-energy mission of the Catalyst Building, our Spokane home. DESN contributes directly to the social, economic, and cultural vitality of the Inland Northwest.</w:t>
      </w:r>
    </w:p>
    <w:p>
      <w:pPr>
        <w:spacing w:after="298"/>
      </w:pPr>
      <w:r>
        <w:rPr>
          <w:rFonts w:ascii="Times" w:hAnsi="Times" w:cs="Times"/>
          <w:sz w:val="36"/>
          <w:sz-cs w:val="36"/>
          <w:b/>
          <w:spacing w:val="0"/>
        </w:rPr>
        <w:t xml:space="preserve">3. Recent alumni examples (past five years)</w:t>
      </w:r>
    </w:p>
    <w:p>
      <w:pPr>
        <w:spacing w:after="240"/>
      </w:pPr>
      <w:r>
        <w:rPr>
          <w:rFonts w:ascii="Times" w:hAnsi="Times" w:cs="Times"/>
          <w:sz w:val="24"/>
          <w:sz-cs w:val="24"/>
          <w:i/>
          <w:spacing w:val="0"/>
        </w:rPr>
        <w:t xml:space="preserve">Form question: Please share three examples of how students who have graduated this program over the past five years have contributed to the employment demands, current trends, emerging markets, needs in the region, state and nation.</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(1,418/1,500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Graduates from the past five years are meeting employment demand in design fields the U.S. Bureau of Labor Statistics projects to grow much faster than average — our 2023 program analysis cited 17-23% growth for UX design and web development. Three examples: Savannah Johnson (BDes 2021) works as a UX product designer, the specialty at the center of that projected growth. Chance Woudenberg (BDes 2021, UX and web design certificates) built his career, per our 2023 alumni survey, as a graphic designer and front-end developer with a full-service marketing agency, spanning print, digital, and interactive web work. Gibelly Lopez-Benicio (BDes 2025, summa cum laude) moved from graduation into the emerging marketing-technology market as a graphic designer at Ignitium — evidence that our newest graduates enter professional practice quickly. Beyond these three, that survey documented graduates from the same window working as a page designer/copy editor at The Spokesman-Review and a content designer maintaining EWU's web presence, while earlier graduates have held senior product-design roles at organizations including Bitwarden and Washington's King County Elections. Regional demand is also structural: many of the studios and agencies on our industry contact list are staffed by program alumni, including the co-owner of a Spokane design and marketing firm — our graduates are the regional creative workforce.</w:t>
      </w:r>
    </w:p>
    <w:p>
      <w:pPr>
        <w:spacing w:after="298"/>
      </w:pPr>
      <w:r>
        <w:rPr>
          <w:rFonts w:ascii="Times" w:hAnsi="Times" w:cs="Times"/>
          <w:sz w:val="36"/>
          <w:sz-cs w:val="36"/>
          <w:b/>
          <w:spacing w:val="0"/>
        </w:rPr>
        <w:t xml:space="preserve">4. Internal demand</w:t>
      </w:r>
    </w:p>
    <w:p>
      <w:pPr>
        <w:spacing w:after="240"/>
      </w:pPr>
      <w:r>
        <w:rPr>
          <w:rFonts w:ascii="Times" w:hAnsi="Times" w:cs="Times"/>
          <w:sz w:val="24"/>
          <w:sz-cs w:val="24"/>
          <w:i/>
          <w:spacing w:val="0"/>
        </w:rPr>
        <w:t xml:space="preserve">Form question: Please tell us any relevant ways that your program addresses internal demand, such as General Education, service courses and existing collaborations with other program degree majors at EWU.</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(1,400/1,500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DESN functions as design infrastructure for EWU. In our most recent program-review data, service courses accounted for more than a quarter of the department's student credit hours, and DESN classes required by other programs filled at an average of 86%. Public Relations majors complete one course chosen from six DESN options; Computer Science programs have required four DESN courses (216, 336, 368, 446); Technical Communication requires three; Music Technology, Creative Writing, and the Web Application Development minor also build DESN coursework into their curricula. The department contributes to General Education directly: the DESN 490 community-partner capstone counts toward General Education as well as the major, and DESN 359, Global Histories of Design, satisfies EWU's Diversity requirement and has been offered in partnership with the Honors program since fall 2023. Our seven new design minors — from Graphic Design and Web Development to Game Design — give students in any major a structured design credential. Internal demand extends past coursework: DESN students have worked as designers in roughly 28 campus offices, from University Marketing &amp; Communications (whose creative staff has long been drawn largely from program alumni) to Admissions, Libraries, Athletics, and The Easterner, and the Catalyst 4D Lab extends this service role with printing and fabrication resources.</w:t>
      </w:r>
    </w:p>
    <w:p>
      <w:pPr>
        <w:spacing w:after="298"/>
      </w:pPr>
      <w:r>
        <w:rPr>
          <w:rFonts w:ascii="Times" w:hAnsi="Times" w:cs="Times"/>
          <w:sz w:val="36"/>
          <w:sz-cs w:val="36"/>
          <w:b/>
          <w:spacing w:val="0"/>
        </w:rPr>
        <w:t xml:space="preserve">5. Efficiency, growth, and barriers</w:t>
      </w:r>
    </w:p>
    <w:p>
      <w:pPr>
        <w:spacing w:after="240"/>
      </w:pPr>
      <w:r>
        <w:rPr>
          <w:rFonts w:ascii="Times" w:hAnsi="Times" w:cs="Times"/>
          <w:sz w:val="24"/>
          <w:sz-cs w:val="24"/>
          <w:i/>
          <w:spacing w:val="0"/>
        </w:rPr>
        <w:t xml:space="preserve">Form question: Please tell us any relevant efficiency or potential growth measures your program has taken or plans to take about which we should be aware. What are the barriers your program faces to accomplish your goals.</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(1,494/1,500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DESN has repeatedly restructured for efficiency and growth. Guided by our assessment findings, we converted studio courses from 4 to 5 credits — majors take fewer, deeper courses, shortening time-to-degree and strengthening portfolios — and rebuilt the BDes around a 90-credit structure. We have reshaped certificates into a family of seven minors — Graphic Design, Web Development, User Experience, Interaction Design, Animation &amp; Motion Design, Game Design, and Photography — documented in our renewed 2025 articulation with Spokane Falls Community College, while adding courses such as DESN 374 (AI + Design) and new game-design offerings. That articulation transfers associate-degree (AAS/T) graphic design graduates directly into the BDes, and new professional-continuing-education certificates add enrollment and revenue; in our 2021-22 program financials, the UX certificate returned the department's highest net revenue per credit hour. Our barriers are structural. First, location: the 2020 move to the Catalyst Building created transportation and access gaps between Cheney student services and Spokane studios, affecting recruitment and degree pathways. Second, staffing: as of fall 2023 only four of nine full-time faculty were tenure-line, a ratio we have yet to rebalance — concentrating advising and governance on a few people. Sustained growth requires a new tenure-track line and advising support; we pursue both while protecting the small-studio model that drives our quality.</w:t>
      </w:r>
    </w:p>
    <w:p>
      <w:pPr>
        <w:spacing w:after="298"/>
      </w:pPr>
      <w:r>
        <w:rPr>
          <w:rFonts w:ascii="Times" w:hAnsi="Times" w:cs="Times"/>
          <w:sz w:val="36"/>
          <w:sz-cs w:val="36"/>
          <w:b/>
          <w:spacing w:val="0"/>
        </w:rPr>
        <w:t xml:space="preserve">6. Applied learning</w:t>
      </w:r>
    </w:p>
    <w:p>
      <w:pPr>
        <w:spacing w:after="240"/>
      </w:pPr>
      <w:r>
        <w:rPr>
          <w:rFonts w:ascii="Times" w:hAnsi="Times" w:cs="Times"/>
          <w:sz w:val="24"/>
          <w:sz-cs w:val="24"/>
          <w:i/>
          <w:spacing w:val="0"/>
        </w:rPr>
        <w:t xml:space="preserve">Form question: Explain how your program has/will implement applied learning in your program degree majors. Include business/regional/society needs and demands.</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(1,467/1,500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Applied learning is not a component of DESN — it is the pedagogy, aligned with EWU's polytechnic identity and the strategic plan's goal of experiential learning across undergraduate curricula. Studios produce real work for real audiences through research, prototyping, critique, and public presentation. Since 2017 our studios — anchored by the senior capstone — have paired student teams with community-partner clients nearly every quarter — the Kalispel Tribe, Spokane Public Libraries, City of Spokane Public Works, Feast World Kitchen, and the League of Women Voters among them — and advanced-studio students created artwork for the Women Helping Women Fund's 1,300-attendee annual fundraiser. The program maintains an internship network of 60+ host employers (Avista, Zak Designs, Gravity Jack, Seven2), and students staff design jobs across campus. The path from coursework to employment is programmatic: an alumni speaker series, the Low Key Level Up senior portfolio night, and the LEVEL UP Creative Career Fair, launched in May 2025 at the Catalyst Building, the program's Spokane facility. Going forward, applied learning widens: our seven new design minors extend client-based studio work to non-majors, DESN 374 (AI + Design) and new game-design courses carry industry-relevant projects, and professional-continuing-education certificates bring applied training to working designers — applied learning built around business, regional, and societal demand.</w:t>
      </w:r>
    </w:p>
    <w:p>
      <w:pPr>
        <w:spacing w:after="298"/>
      </w:pPr>
      <w:r>
        <w:rPr>
          <w:rFonts w:ascii="Times" w:hAnsi="Times" w:cs="Times"/>
          <w:sz w:val="36"/>
          <w:sz-cs w:val="36"/>
          <w:b/>
          <w:spacing w:val="0"/>
        </w:rPr>
        <w:t xml:space="preserve">7. Other information</w:t>
      </w:r>
    </w:p>
    <w:p>
      <w:pPr>
        <w:spacing w:after="240"/>
      </w:pPr>
      <w:r>
        <w:rPr>
          <w:rFonts w:ascii="Times" w:hAnsi="Times" w:cs="Times"/>
          <w:sz w:val="24"/>
          <w:sz-cs w:val="24"/>
          <w:i/>
          <w:spacing w:val="0"/>
        </w:rPr>
        <w:t xml:space="preserve">Form question: Tell us any other information, not asked here, that will help us understand your program.</w:t>
      </w:r>
      <w:r>
        <w:rPr>
          <w:rFonts w:ascii="Times" w:hAnsi="Times" w:cs="Times"/>
          <w:sz w:val="24"/>
          <w:sz-cs w:val="24"/>
          <w:spacing w:val="0"/>
        </w:rPr>
        <w:t xml:space="preserve"/>
      </w:r>
    </w:p>
    <w:p>
      <w:pPr>
        <w:spacing w:after="240"/>
      </w:pPr>
      <w:r>
        <w:rPr>
          <w:rFonts w:ascii="Times" w:hAnsi="Times" w:cs="Times"/>
          <w:sz w:val="24"/>
          <w:sz-cs w:val="24"/>
          <w:b/>
          <w:spacing w:val="0"/>
        </w:rPr>
        <w:t xml:space="preserve">Answer (1,467/1,500 characters):</w:t>
      </w:r>
      <w:r>
        <w:rPr>
          <w:rFonts w:ascii="Times" w:hAnsi="Times" w:cs="Times"/>
          <w:sz w:val="24"/>
          <w:sz-cs w:val="24"/>
          <w:spacing w:val="0"/>
        </w:rPr>
        <w:t xml:space="preserve"/>
      </w:r>
    </w:p>
    <w:p>
      <w:pPr>
        <w:spacing w:after="240"/>
      </w:pPr>
      <w:r>
        <w:rPr>
          <w:rFonts w:ascii="Times" w:hAnsi="Times" w:cs="Times"/>
          <w:sz w:val="24"/>
          <w:sz-cs w:val="24"/>
          <w:spacing w:val="0"/>
        </w:rPr>
        <w:t xml:space="preserve">Three things round out the picture. First, lineage and reach: DESN descends from a departmental line at EWU dating to 1917, with the design degree itself emerging in the early 1960s; today it is, to our knowledge, the only bachelor's degree in design offered in Eastern Washington. More than 850 alumni have completed the program, including nearly 250 graduates across 2021-2025; the 2025 class alone included 45 BDes graduates, 26 with Latin honors, plus 38 certificate completions (earned by 26 students, many of them the same graduates). Second, pipeline: we are an on-ramp into creative careers — hosting NEWTech High School visits at Catalyst, running summer design camps for grades 6-8 (three camps in 2025), and articulating directly with Spokane Falls Community College — for young people who would not otherwise have professional design networks or portfolio support. Third, momentum with stability: faculty present nationally on AI and design education, including for AIGA, the professional association for design; the 4D Lab's printing and fabrication services now serve paying external clients such as a regional health-education partner; and faculty retention is exceptional — as of our 2023 review, only two departures in five years from the team known as the 'DESN FMLY.' DESN is a small department that functions as the region's design hub: a professional degree, a community design resource, and an engine for the Inland Northwest's creative economy.</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Before you submit — verification checklist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Savannah Johnson</w:t>
      </w:r>
      <w:r>
        <w:rPr>
          <w:rFonts w:ascii="Times" w:hAnsi="Times" w:cs="Times"/>
          <w:sz w:val="24"/>
          <w:sz-cs w:val="24"/>
          <w:spacing w:val="0"/>
        </w:rPr>
        <w:t xml:space="preserve"> (BDes 2021, UX product designer) and </w:t>
      </w:r>
      <w:r>
        <w:rPr>
          <w:rFonts w:ascii="Times" w:hAnsi="Times" w:cs="Times"/>
          <w:sz w:val="24"/>
          <w:sz-cs w:val="24"/>
          <w:b/>
          <w:spacing w:val="0"/>
        </w:rPr>
        <w:t xml:space="preserve">Gibelly Lopez-Benicio</w:t>
      </w:r>
      <w:r>
        <w:rPr>
          <w:rFonts w:ascii="Times" w:hAnsi="Times" w:cs="Times"/>
          <w:sz w:val="24"/>
          <w:sz-cs w:val="24"/>
          <w:spacing w:val="0"/>
        </w:rPr>
        <w:t xml:space="preserve"> (BDes 2025, graphic designer at Ignitium): titles come from the May 2026 LinkedIn check. Reconfirm both are current, and that each person is comfortable being featured.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Chance Woudenberg</w:t>
      </w:r>
      <w:r>
        <w:rPr>
          <w:rFonts w:ascii="Times" w:hAnsi="Times" w:cs="Times"/>
          <w:sz w:val="24"/>
          <w:sz-cs w:val="24"/>
          <w:spacing w:val="0"/>
        </w:rPr>
        <w:t xml:space="preserve"> (BDes 2021): his agency role is from the 2023 alumni survey (the answer says so). If you can verify his current role on LinkedIn, the hedge can come out — or swap in a stronger third example.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SFCC articulation:</w:t>
      </w:r>
      <w:r>
        <w:rPr>
          <w:rFonts w:ascii="Times" w:hAnsi="Times" w:cs="Times"/>
          <w:sz w:val="24"/>
          <w:sz-cs w:val="24"/>
          <w:spacing w:val="0"/>
        </w:rPr>
        <w:t xml:space="preserve"> the local copy of the May 2025 agreement is missing the EWU dean/provost signatures. Confirm a fully executed copy exists.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"Only bachelor's degree in design in Eastern Washington"</w:t>
      </w:r>
      <w:r>
        <w:rPr>
          <w:rFonts w:ascii="Times" w:hAnsi="Times" w:cs="Times"/>
          <w:sz w:val="24"/>
          <w:sz-cs w:val="24"/>
          <w:spacing w:val="0"/>
        </w:rPr>
        <w:t xml:space="preserve"> is hedged with "to our knowledge" (Q7). Drop the hedge only if verified against current WA catalogs.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DESN 359 + Honors:</w:t>
      </w:r>
      <w:r>
        <w:rPr>
          <w:rFonts w:ascii="Times" w:hAnsi="Times" w:cs="Times"/>
          <w:sz w:val="24"/>
          <w:sz-cs w:val="24"/>
          <w:spacing w:val="0"/>
        </w:rPr>
        <w:t xml:space="preserve"> softened to "offered in partnership with the Honors program" because the cross-listing wasn't found in curriculum files (it appears only in 2023 SRA docs). Verify against the current catalog.</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Summer camps:</w:t>
      </w:r>
      <w:r>
        <w:rPr>
          <w:rFonts w:ascii="Times" w:hAnsi="Times" w:cs="Times"/>
          <w:sz w:val="24"/>
          <w:sz-cs w:val="24"/>
          <w:spacing w:val="0"/>
        </w:rPr>
        <w:t xml:space="preserve"> Q7 cites the three documented 2025 camps. If 2026 camps ran, you can strengthen to "annual."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Program Name dropdown:</w:t>
      </w:r>
      <w:r>
        <w:rPr>
          <w:rFonts w:ascii="Times" w:hAnsi="Times" w:cs="Times"/>
          <w:sz w:val="24"/>
          <w:sz-cs w:val="24"/>
          <w:spacing w:val="0"/>
        </w:rPr>
        <w:t xml:space="preserve"> select the official BDes in Visual Communication Design entry when submitting.</w:t>
      </w:r>
    </w:p>
    <w:p>
      <w:pPr>
        <w:spacing w:after="298"/>
      </w:pPr>
      <w:r>
        <w:rPr>
          <w:rFonts w:ascii="Times" w:hAnsi="Times" w:cs="Times"/>
          <w:sz w:val="36"/>
          <w:sz-cs w:val="36"/>
          <w:b/>
          <w:spacing w:val="0"/>
        </w:rPr>
        <w:t xml:space="preserve">Data vintages used</w:t>
      </w:r>
    </w:p>
    <w:p>
      <w:pPr>
        <w:spacing w:after="240"/>
      </w:pPr>
      <w:r>
        <w:rPr>
          <w:rFonts w:ascii="Times" w:hAnsi="Times" w:cs="Times"/>
          <w:sz w:val="24"/>
          <w:sz-cs w:val="24"/>
          <w:spacing w:val="0"/>
        </w:rPr>
        <w:t xml:space="preserve">Demographics (44% first-gen, ~38% students of color), 86% fill rate, service-course share, and UX-certificate revenue are from the 2023 SRA (AY2021-22 data) and are dated as such in the answers. Alumni counts: 825 roster (Sept 2024) + 45 BDes graduates in 2025. Strategic-plan language verified against ewu.edu, July 2026.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