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ESNEyebrow"/>
        <w:jc w:val="center"/>
      </w:pPr>
      <w:r>
        <w:t>PRC / PRD SELF-STUDY 2026-2027</w:t>
      </w:r>
    </w:p>
    <w:p>
      <w:pPr>
        <w:pStyle w:val="Title"/>
        <w:jc w:val="center"/>
      </w:pPr>
      <w:r>
        <w:t>DESN Program Review Self-Study Notes</w:t>
      </w:r>
    </w:p>
    <w:p>
      <w:pPr>
        <w:pStyle w:val="DESNNote"/>
        <w:jc w:val="center"/>
      </w:pPr>
      <w:r>
        <w:t>Working draft prepared from the local DESN Dept folder, alumni notes, and the self-study form requirements.</w:t>
      </w:r>
    </w:p>
    <w:tbl>
      <w:tblPr>
        <w:tblStyle w:val="TableGrid"/>
        <w:tblW w:type="auto" w:w="0"/>
        <w:jc w:val="center"/>
        <w:tblLook w:firstColumn="1" w:firstRow="1" w:lastColumn="0" w:lastRow="0" w:noHBand="0" w:noVBand="1" w:val="04A0"/>
      </w:tblPr>
      <w:tblGrid>
        <w:gridCol w:w="4997"/>
        <w:gridCol w:w="4997"/>
      </w:tblGrid>
      <w:tr>
        <w:tc>
          <w:tcPr>
            <w:tcW w:type="dxa" w:w="4997"/>
            <w:shd w:fill="F7F7F2"/>
            <w:vAlign w:val="top"/>
          </w:tcPr>
          <w:p>
            <w:pPr>
              <w:spacing w:after="0"/>
            </w:pPr>
            <w:r>
              <w:rPr>
                <w:rFonts w:ascii="Aptos" w:hAnsi="Aptos" w:eastAsia="Aptos"/>
                <w:sz w:val="19"/>
              </w:rPr>
            </w:r>
            <w:r>
              <w:rPr>
                <w:rFonts w:ascii="Aptos" w:hAnsi="Aptos" w:eastAsia="Aptos"/>
                <w:b/>
                <w:color w:val="171717"/>
                <w:sz w:val="19"/>
              </w:rPr>
              <w:t>Source folder reviewed</w:t>
            </w:r>
          </w:p>
        </w:tc>
        <w:tc>
          <w:tcPr>
            <w:tcW w:type="dxa" w:w="4997"/>
            <w:shd w:fill="FFFFFF"/>
            <w:vAlign w:val="top"/>
          </w:tcPr>
          <w:p>
            <w:pPr>
              <w:spacing w:after="0"/>
            </w:pPr>
            <w:r>
              <w:rPr>
                <w:rFonts w:ascii="Aptos" w:hAnsi="Aptos" w:eastAsia="Aptos"/>
                <w:sz w:val="19"/>
              </w:rPr>
            </w:r>
            <w:r>
              <w:rPr>
                <w:rFonts w:ascii="Aptos" w:hAnsi="Aptos" w:eastAsia="Aptos"/>
                <w:b w:val="0"/>
                <w:color w:val="171717"/>
                <w:sz w:val="19"/>
              </w:rPr>
              <w:t>DESN Dept</w:t>
            </w:r>
          </w:p>
        </w:tc>
      </w:tr>
      <w:tr>
        <w:tc>
          <w:tcPr>
            <w:tcW w:type="dxa" w:w="4997"/>
            <w:shd w:fill="F7F7F2"/>
            <w:vAlign w:val="top"/>
          </w:tcPr>
          <w:p>
            <w:pPr>
              <w:spacing w:after="0"/>
            </w:pPr>
            <w:r>
              <w:rPr>
                <w:rFonts w:ascii="Aptos" w:hAnsi="Aptos" w:eastAsia="Aptos"/>
                <w:sz w:val="19"/>
              </w:rPr>
            </w:r>
            <w:r>
              <w:rPr>
                <w:rFonts w:ascii="Aptos" w:hAnsi="Aptos" w:eastAsia="Aptos"/>
                <w:b/>
                <w:color w:val="171717"/>
                <w:sz w:val="19"/>
              </w:rPr>
              <w:t>Form reviewed</w:t>
            </w:r>
          </w:p>
        </w:tc>
        <w:tc>
          <w:tcPr>
            <w:tcW w:type="dxa" w:w="4997"/>
            <w:shd w:fill="FFFFFF"/>
            <w:vAlign w:val="top"/>
          </w:tcPr>
          <w:p>
            <w:pPr>
              <w:spacing w:after="0"/>
            </w:pPr>
            <w:r>
              <w:rPr>
                <w:rFonts w:ascii="Aptos" w:hAnsi="Aptos" w:eastAsia="Aptos"/>
                <w:sz w:val="19"/>
              </w:rPr>
            </w:r>
            <w:r>
              <w:rPr>
                <w:rFonts w:ascii="Aptos" w:hAnsi="Aptos" w:eastAsia="Aptos"/>
                <w:b w:val="0"/>
                <w:color w:val="171717"/>
                <w:sz w:val="19"/>
              </w:rPr>
              <w:t>PRC/PRD Self Study Questions 2026/2027</w:t>
            </w:r>
          </w:p>
        </w:tc>
      </w:tr>
      <w:tr>
        <w:tc>
          <w:tcPr>
            <w:tcW w:type="dxa" w:w="4997"/>
            <w:shd w:fill="F7F7F2"/>
            <w:vAlign w:val="top"/>
          </w:tcPr>
          <w:p>
            <w:pPr>
              <w:spacing w:after="0"/>
            </w:pPr>
            <w:r>
              <w:rPr>
                <w:rFonts w:ascii="Aptos" w:hAnsi="Aptos" w:eastAsia="Aptos"/>
                <w:sz w:val="19"/>
              </w:rPr>
            </w:r>
            <w:r>
              <w:rPr>
                <w:rFonts w:ascii="Aptos" w:hAnsi="Aptos" w:eastAsia="Aptos"/>
                <w:b/>
                <w:color w:val="171717"/>
                <w:sz w:val="19"/>
              </w:rPr>
              <w:t>Response limit</w:t>
            </w:r>
          </w:p>
        </w:tc>
        <w:tc>
          <w:tcPr>
            <w:tcW w:type="dxa" w:w="4997"/>
            <w:shd w:fill="FFFFFF"/>
            <w:vAlign w:val="top"/>
          </w:tcPr>
          <w:p>
            <w:pPr>
              <w:spacing w:after="0"/>
            </w:pPr>
            <w:r>
              <w:rPr>
                <w:rFonts w:ascii="Aptos" w:hAnsi="Aptos" w:eastAsia="Aptos"/>
                <w:sz w:val="19"/>
              </w:rPr>
            </w:r>
            <w:r>
              <w:rPr>
                <w:rFonts w:ascii="Aptos" w:hAnsi="Aptos" w:eastAsia="Aptos"/>
                <w:b w:val="0"/>
                <w:color w:val="171717"/>
                <w:sz w:val="19"/>
              </w:rPr>
              <w:t>1500 characters per response</w:t>
            </w:r>
          </w:p>
        </w:tc>
      </w:tr>
      <w:tr>
        <w:tc>
          <w:tcPr>
            <w:tcW w:type="dxa" w:w="4997"/>
            <w:shd w:fill="F7F7F2"/>
            <w:vAlign w:val="top"/>
          </w:tcPr>
          <w:p>
            <w:pPr>
              <w:spacing w:after="0"/>
            </w:pPr>
            <w:r>
              <w:rPr>
                <w:rFonts w:ascii="Aptos" w:hAnsi="Aptos" w:eastAsia="Aptos"/>
                <w:sz w:val="19"/>
              </w:rPr>
            </w:r>
            <w:r>
              <w:rPr>
                <w:rFonts w:ascii="Aptos" w:hAnsi="Aptos" w:eastAsia="Aptos"/>
                <w:b/>
                <w:color w:val="171717"/>
                <w:sz w:val="19"/>
              </w:rPr>
              <w:t>Current alumni status</w:t>
            </w:r>
          </w:p>
        </w:tc>
        <w:tc>
          <w:tcPr>
            <w:tcW w:type="dxa" w:w="4997"/>
            <w:shd w:fill="FFFFFF"/>
            <w:vAlign w:val="top"/>
          </w:tcPr>
          <w:p>
            <w:pPr>
              <w:spacing w:after="0"/>
            </w:pPr>
            <w:r>
              <w:rPr>
                <w:rFonts w:ascii="Aptos" w:hAnsi="Aptos" w:eastAsia="Aptos"/>
                <w:sz w:val="19"/>
              </w:rPr>
            </w:r>
            <w:r>
              <w:rPr>
                <w:rFonts w:ascii="Aptos" w:hAnsi="Aptos" w:eastAsia="Aptos"/>
                <w:b w:val="0"/>
                <w:color w:val="171717"/>
                <w:sz w:val="19"/>
              </w:rPr>
              <w:t>Gibelly Lopez-Benicio and Savannah Johnson are the strongest confirmed recent examples; one additional recent alum still needs confirmation.</w:t>
            </w:r>
          </w:p>
        </w:tc>
      </w:tr>
    </w:tbl>
    <w:p>
      <w:pPr>
        <w:jc w:val="center"/>
      </w:pPr>
      <w:r>
        <w:rPr>
          <w:color w:val="666864"/>
          <w:sz w:val="18"/>
        </w:rPr>
        <w:t>Generated May 21, 2026</w:t>
      </w:r>
    </w:p>
    <w:p>
      <w:pPr>
        <w:pStyle w:val="DESNEyebrow"/>
      </w:pPr>
      <w:r>
        <w:t>ORIENTATION</w:t>
      </w:r>
    </w:p>
    <w:p>
      <w:pPr>
        <w:pStyle w:val="Heading1"/>
      </w:pPr>
      <w:r>
        <w:t>At-A-Glance Contents</w:t>
      </w:r>
    </w:p>
    <w:p>
      <w:pPr>
        <w:pStyle w:val="ListBullet"/>
      </w:pPr>
      <w:r>
        <w:t>Form questions and response constraints</w:t>
      </w:r>
    </w:p>
    <w:p>
      <w:pPr>
        <w:pStyle w:val="ListBullet"/>
      </w:pPr>
      <w:r>
        <w:t>Highest-signal source map</w:t>
      </w:r>
    </w:p>
    <w:p>
      <w:pPr>
        <w:pStyle w:val="ListBullet"/>
      </w:pPr>
      <w:r>
        <w:t>Strong draft angles and useful evidence</w:t>
      </w:r>
    </w:p>
    <w:p>
      <w:pPr>
        <w:pStyle w:val="ListBullet"/>
      </w:pPr>
      <w:r>
        <w:t>Alumni verification notes and profile links</w:t>
      </w:r>
    </w:p>
    <w:p>
      <w:pPr>
        <w:pStyle w:val="ListBullet"/>
      </w:pPr>
      <w:r>
        <w:t>Expanded draft responses to edit down</w:t>
      </w:r>
    </w:p>
    <w:p>
      <w:pPr>
        <w:pStyle w:val="ListBullet"/>
      </w:pPr>
      <w:r>
        <w:t>Interview gaps and decision questions</w:t>
      </w:r>
    </w:p>
    <w:p>
      <w:pPr>
        <w:pStyle w:val="DESNEyebrow"/>
      </w:pPr>
      <w:r>
        <w:t>FORM WORKSPACE</w:t>
      </w:r>
    </w:p>
    <w:p>
      <w:pPr>
        <w:pStyle w:val="Heading1"/>
      </w:pPr>
      <w:r>
        <w:t>Form Questions</w:t>
      </w:r>
    </w:p>
    <w:p>
      <w:pPr>
        <w:pStyle w:val="DESNNote"/>
      </w:pPr>
      <w:r>
        <w:t>Each response is limited to 1500 characters.</w:t>
      </w:r>
    </w:p>
    <w:p>
      <w:pPr>
        <w:pStyle w:val="ListNumber"/>
      </w:pPr>
      <w:r>
        <w:t>Program philosophy and what graduates should accomplish after earning the degree.</w:t>
      </w:r>
    </w:p>
    <w:p>
      <w:pPr>
        <w:pStyle w:val="ListNumber"/>
      </w:pPr>
      <w:r>
        <w:t>Alignment with EWU mission, vision, values, and social/economic/cultural objectives.</w:t>
      </w:r>
    </w:p>
    <w:p>
      <w:pPr>
        <w:pStyle w:val="ListNumber"/>
      </w:pPr>
      <w:r>
        <w:t>Three recent alumni examples from the past five years tied to employment demand, trends, emerging markets, and regional/state/national needs.</w:t>
      </w:r>
    </w:p>
    <w:p>
      <w:pPr>
        <w:pStyle w:val="ListNumber"/>
      </w:pPr>
      <w:r>
        <w:t>Internal demand: General Education, service courses, collaborations with other EWU programs.</w:t>
      </w:r>
    </w:p>
    <w:p>
      <w:pPr>
        <w:pStyle w:val="ListNumber"/>
      </w:pPr>
      <w:r>
        <w:t>Efficiency, growth measures, planned changes, and barriers.</w:t>
      </w:r>
    </w:p>
    <w:p>
      <w:pPr>
        <w:pStyle w:val="ListNumber"/>
      </w:pPr>
      <w:r>
        <w:t>Applied learning implementation, including business/regional/societal needs.</w:t>
      </w:r>
    </w:p>
    <w:p>
      <w:pPr>
        <w:pStyle w:val="ListNumber"/>
      </w:pPr>
      <w:r>
        <w:t>Other information that helps reviewers understand the program.</w:t>
      </w:r>
    </w:p>
    <w:p>
      <w:pPr>
        <w:pStyle w:val="DESNEyebrow"/>
      </w:pPr>
      <w:r>
        <w:t>SOURCE MAP</w:t>
      </w:r>
    </w:p>
    <w:p>
      <w:pPr>
        <w:pStyle w:val="Heading1"/>
      </w:pPr>
      <w:r>
        <w:t>Highest-Signal Local Sources</w:t>
      </w:r>
    </w:p>
    <w:p>
      <w:pPr>
        <w:pStyle w:val="ListBullet"/>
      </w:pPr>
      <w:r>
        <w:t>DESN Dept/Strategic Resource Allocation (SRA)/Templates/BDES Template Answers For Word Count.docx</w:t>
      </w:r>
    </w:p>
    <w:p>
      <w:pPr>
        <w:pStyle w:val="ListBullet2"/>
      </w:pPr>
      <w:r>
        <w:t>Best starting source. Contains concise program-review language for history, external demand, internal demand, quality processes, outcomes, resources, DEI, opportunity analysis, and essentiality.</w:t>
      </w:r>
    </w:p>
    <w:p>
      <w:pPr>
        <w:pStyle w:val="ListBullet"/>
      </w:pPr>
      <w:r>
        <w:t>DESN Dept/Strategic Resource Allocation (SRA)/Info for templates/Program Review _ VCD _ 4Jun18.docx</w:t>
      </w:r>
    </w:p>
    <w:p>
      <w:pPr>
        <w:pStyle w:val="ListBullet2"/>
      </w:pPr>
      <w:r>
        <w:t>Older but useful for program history, mission, curriculum narrative, PLOs, capstone/applied learning, assessment, and five-year planning.</w:t>
      </w:r>
    </w:p>
    <w:p>
      <w:pPr>
        <w:pStyle w:val="ListBullet"/>
      </w:pPr>
      <w:r>
        <w:t>DESN Dept/Strategic Resource Allocation (SRA)/References/Community Partner Projects + Campus Employment.docx</w:t>
      </w:r>
    </w:p>
    <w:p>
      <w:pPr>
        <w:pStyle w:val="ListBullet2"/>
      </w:pPr>
      <w:r>
        <w:t>Strong evidence for applied learning, regional/civic impact, service learning, and campus employment.</w:t>
      </w:r>
    </w:p>
    <w:p>
      <w:pPr>
        <w:pStyle w:val="ListBullet"/>
      </w:pPr>
      <w:r>
        <w:t>DESN Dept/Strategic Resource Allocation (SRA)/alumni survey results 5.1.23 raw data.docx.xlsx</w:t>
      </w:r>
    </w:p>
    <w:p>
      <w:pPr>
        <w:pStyle w:val="ListBullet2"/>
      </w:pPr>
      <w:r>
        <w:t>Best source for alumni examples, though current roles should be verified.</w:t>
      </w:r>
    </w:p>
    <w:p>
      <w:pPr>
        <w:pStyle w:val="ListBullet"/>
      </w:pPr>
      <w:r>
        <w:t>DESN Dept/Graduates &amp; Alumni/DESN Alumni - updated Sept2024.xlsx</w:t>
      </w:r>
    </w:p>
    <w:p>
      <w:pPr>
        <w:pStyle w:val="ListBullet2"/>
      </w:pPr>
      <w:r>
        <w:t>Alumni roster. Useful for graduation-year counts and contact follow-up, but does not include job outcomes.</w:t>
      </w:r>
    </w:p>
    <w:p>
      <w:pPr>
        <w:pStyle w:val="ListBullet"/>
      </w:pPr>
      <w:r>
        <w:t>DESN Dept/Graduates &amp; Alumni/2025 VCD Graduates.csv</w:t>
      </w:r>
    </w:p>
    <w:p>
      <w:pPr>
        <w:pStyle w:val="ListBullet2"/>
      </w:pPr>
      <w:r>
        <w:t>45 VCD graduates listed for 2025; 26 with honors.</w:t>
      </w:r>
    </w:p>
    <w:p>
      <w:pPr>
        <w:pStyle w:val="ListBullet"/>
      </w:pPr>
      <w:r>
        <w:t>DESN Dept/Graduates &amp; Alumni/2025 Certificate Grads.csv</w:t>
      </w:r>
    </w:p>
    <w:p>
      <w:pPr>
        <w:pStyle w:val="ListBullet2"/>
      </w:pPr>
      <w:r>
        <w:t>38 certificate completions listed for 2025 across Animation/Motion, Front-End Web, UX, and Photographic Media.</w:t>
      </w:r>
    </w:p>
    <w:p>
      <w:pPr>
        <w:pStyle w:val="ListBullet"/>
      </w:pPr>
      <w:r>
        <w:t>DESN Dept/Assessment/AY2122/2022-02-09 DESN PLOs.docx</w:t>
      </w:r>
    </w:p>
    <w:p>
      <w:pPr>
        <w:pStyle w:val="ListBullet2"/>
      </w:pPr>
      <w:r>
        <w:t>Current concise PLO language: visual vocabulary, technical skills, design methodology, career readiness, well-being.</w:t>
      </w:r>
    </w:p>
    <w:p>
      <w:pPr>
        <w:pStyle w:val="ListBullet"/>
      </w:pPr>
      <w:r>
        <w:t>DESN Dept/Assessment/DESN PLO Map.xlsx</w:t>
      </w:r>
    </w:p>
    <w:p>
      <w:pPr>
        <w:pStyle w:val="ListBullet2"/>
      </w:pPr>
      <w:r>
        <w:t>Maps PLOs across required courses and assessment years.</w:t>
      </w:r>
    </w:p>
    <w:p>
      <w:pPr>
        <w:pStyle w:val="ListBullet"/>
      </w:pPr>
      <w:r>
        <w:t>DESN Dept/Reports &amp; Activity Summaries/AY2324/2024-05-01 Design Activities - CSTEM Spring Newsletter.docx</w:t>
      </w:r>
    </w:p>
    <w:p>
      <w:pPr>
        <w:pStyle w:val="ListBullet2"/>
      </w:pPr>
      <w:r>
        <w:t>Recent faculty/student activity: AI presentations, Women Helping Women Fund project, Risograph workshops/residency, student research, NEWTech visit, Zine Fest.</w:t>
      </w:r>
    </w:p>
    <w:p>
      <w:pPr>
        <w:pStyle w:val="ListBullet"/>
      </w:pPr>
      <w:r>
        <w:t>DESN Dept/Curriculum/CPAC 2025-26 work.xlsx</w:t>
      </w:r>
    </w:p>
    <w:p>
      <w:pPr>
        <w:pStyle w:val="ListBullet2"/>
      </w:pPr>
      <w:r>
        <w:t>Planned curriculum work: certs-to-minors discussion, removal of some certificates, possible minors in web development/design engineering/graphic design, BDes requirement revisions.</w:t>
      </w:r>
    </w:p>
    <w:p>
      <w:pPr>
        <w:pStyle w:val="ListBullet"/>
      </w:pPr>
      <w:r>
        <w:t>DESN Dept/Events/AY2425/2025-05-15 Low Key Level Up</w:t>
      </w:r>
    </w:p>
    <w:p>
      <w:pPr>
        <w:pStyle w:val="ListBullet2"/>
      </w:pPr>
      <w:r>
        <w:t>Evidence for senior portfolio display, alumni/industry networking, and Creative Career Fair planning.</w:t>
      </w:r>
    </w:p>
    <w:p>
      <w:pPr>
        <w:pStyle w:val="ListBullet"/>
      </w:pPr>
      <w:r>
        <w:t>DESN Dept/Industry Contacts/Industry Contact Sheet (updated 5-28-24).xlsx</w:t>
      </w:r>
    </w:p>
    <w:p>
      <w:pPr>
        <w:pStyle w:val="ListBullet2"/>
      </w:pPr>
      <w:r>
        <w:t>Regional employer/industry contact base.</w:t>
      </w:r>
    </w:p>
    <w:p>
      <w:pPr>
        <w:pStyle w:val="DESNEyebrow"/>
      </w:pPr>
      <w:r>
        <w:t>WORKING NOTES</w:t>
      </w:r>
    </w:p>
    <w:p>
      <w:pPr>
        <w:pStyle w:val="Heading1"/>
      </w:pPr>
      <w:r>
        <w:t>Strong Draft Angles</w:t>
      </w:r>
    </w:p>
    <w:p>
      <w:pPr>
        <w:pStyle w:val="Heading2"/>
      </w:pPr>
      <w:r>
        <w:t>1. Philosophy and Graduate Outcomes</w:t>
      </w:r>
    </w:p>
    <w:p>
      <w:pPr>
        <w:pStyle w:val="DESNNote"/>
      </w:pPr>
      <w:r>
        <w:rPr>
          <w:b/>
        </w:rPr>
        <w:t>Draft angle:</w:t>
      </w:r>
      <w:r>
        <w:t xml:space="preserve"> DESN prepares students as adaptive, socially conscious visual designers who can move between analog and digital making, human-centered research, technical production, collaboration, and professional presentation. Graduates should leave with a portfolio, a reflective process, technical fluency, and the capacity to design responsibly for real audiences, clients, and communities.</w:t>
      </w:r>
    </w:p>
    <w:p>
      <w:r>
        <w:rPr>
          <w:b/>
          <w:color w:val="171717"/>
        </w:rPr>
        <w:t>Useful evidence:</w:t>
      </w:r>
    </w:p>
    <w:p>
      <w:pPr>
        <w:pStyle w:val="ListBullet"/>
      </w:pPr>
      <w:r>
        <w:t>PLOs: visual vocabulary, technical skills, design methodology, career readiness, well-being.</w:t>
      </w:r>
    </w:p>
    <w:p>
      <w:pPr>
        <w:pStyle w:val="ListBullet"/>
      </w:pPr>
      <w:r>
        <w:t>Prior program language: socially conscious, flexible, career-connected, project-based, hands-on design education.</w:t>
      </w:r>
    </w:p>
    <w:p>
      <w:pPr>
        <w:pStyle w:val="ListBullet"/>
      </w:pPr>
      <w:r>
        <w:t>2018 review language: curriculum balances conceptual development, technical application, and assessment.</w:t>
      </w:r>
    </w:p>
    <w:p>
      <w:pPr>
        <w:pStyle w:val="Heading2"/>
      </w:pPr>
      <w:r>
        <w:t>2. EWU Mission, Vision, Values Alignment</w:t>
      </w:r>
    </w:p>
    <w:p>
      <w:pPr>
        <w:pStyle w:val="DESNNote"/>
      </w:pPr>
      <w:r>
        <w:rPr>
          <w:b/>
        </w:rPr>
        <w:t>Draft angle:</w:t>
      </w:r>
      <w:r>
        <w:t xml:space="preserve"> DESN directly supports applied learning, regional workforce needs, student success, equity/belonging, and upward mobility. The program is especially aligned with EWU's emphasis on applied learning in high-demand fields, regional impact, inclusive education, and sustainability.</w:t>
      </w:r>
    </w:p>
    <w:p>
      <w:r>
        <w:rPr>
          <w:b/>
          <w:color w:val="171717"/>
        </w:rPr>
        <w:t>Useful evidence:</w:t>
      </w:r>
    </w:p>
    <w:p>
      <w:pPr>
        <w:pStyle w:val="ListBullet"/>
      </w:pPr>
      <w:r>
        <w:t>EWU strategic-plan markdown in the folder names inclusive/equitable/transformative learning, applied learning, regional workforce needs, and student success.</w:t>
      </w:r>
    </w:p>
    <w:p>
      <w:pPr>
        <w:pStyle w:val="ListBullet"/>
      </w:pPr>
      <w:r>
        <w:t>DESN community partner work addresses civic, nonprofit, tribal, educational, cultural, environmental, and social-impact needs.</w:t>
      </w:r>
    </w:p>
    <w:p>
      <w:pPr>
        <w:pStyle w:val="ListBullet"/>
      </w:pPr>
      <w:r>
        <w:t>DESN uses hands-on studios, capstones, internships, student employment, and community projects as high-impact practices.</w:t>
      </w:r>
    </w:p>
    <w:p>
      <w:pPr>
        <w:pStyle w:val="Heading2"/>
      </w:pPr>
      <w:r>
        <w:t>3. Recent Alumni Examples</w:t>
      </w:r>
    </w:p>
    <w:p>
      <w:r>
        <w:t>This is the only section that needs verification before submission.</w:t>
      </w:r>
    </w:p>
    <w:p>
      <w:r>
        <w:rPr>
          <w:b/>
          <w:color w:val="171717"/>
        </w:rPr>
        <w:t>Candidate examples from the alumni survey:</w:t>
      </w:r>
    </w:p>
    <w:p>
      <w:pPr>
        <w:pStyle w:val="ListBullet"/>
      </w:pPr>
      <w:r>
        <w:t>Millie Schnebly, 2020 BDES: co-owner/managing partner of a Spokane graphic design and marketing firm.</w:t>
      </w:r>
    </w:p>
    <w:p>
      <w:pPr>
        <w:pStyle w:val="ListBullet"/>
      </w:pPr>
      <w:r>
        <w:t>Danielle Flinn, 2020 BDes: senior product designer working across discovery research, prototyping, usability, implementation, design systems, and accessibility.</w:t>
      </w:r>
    </w:p>
    <w:p>
      <w:pPr>
        <w:pStyle w:val="ListBullet"/>
      </w:pPr>
      <w:r>
        <w:t>Chance Woudenberg, 2021 BDes: graphic designer and front-end developer at a full-service marketing agency, working across print, digital, and web.</w:t>
      </w:r>
    </w:p>
    <w:p>
      <w:pPr>
        <w:pStyle w:val="ListBullet"/>
      </w:pPr>
      <w:r>
        <w:t>Malati Powell, 2021 BDes: page designer/copy editor at The Spokesman-Review.</w:t>
      </w:r>
    </w:p>
    <w:p>
      <w:pPr>
        <w:pStyle w:val="ListBullet"/>
      </w:pPr>
      <w:r>
        <w:t>Emma Orndorff, 2022 BDes: website/content designer working on EWU web properties.</w:t>
      </w:r>
    </w:p>
    <w:p>
      <w:pPr>
        <w:pStyle w:val="ListBullet"/>
      </w:pPr>
      <w:r>
        <w:t>Caelin Fillingim, 2022 BDes: program coordinator using web content management and design/freelance skills.</w:t>
      </w:r>
    </w:p>
    <w:p>
      <w:pPr>
        <w:pStyle w:val="ListBullet"/>
      </w:pPr>
      <w:r>
        <w:t>Rachel Ferrell, 2022 BDes: yearbook account representative creating school yearbooks.</w:t>
      </w:r>
    </w:p>
    <w:p>
      <w:r>
        <w:rPr>
          <w:b/>
          <w:color w:val="171717"/>
        </w:rPr>
        <w:t>Recommended next step:</w:t>
      </w:r>
    </w:p>
    <w:p>
      <w:r>
        <w:t>Confirm three examples that are current as of 2026 and strongest for the form:</w:t>
      </w:r>
    </w:p>
    <w:p>
      <w:pPr>
        <w:pStyle w:val="ListBullet"/>
      </w:pPr>
      <w:r>
        <w:t>one UX/product/web example,</w:t>
      </w:r>
    </w:p>
    <w:p>
      <w:pPr>
        <w:pStyle w:val="ListBullet"/>
      </w:pPr>
      <w:r>
        <w:t>one regional design/marketing/community example,</w:t>
      </w:r>
    </w:p>
    <w:p>
      <w:pPr>
        <w:pStyle w:val="ListBullet"/>
      </w:pPr>
      <w:r>
        <w:t>one media/publishing/education/civic example.</w:t>
      </w:r>
    </w:p>
    <w:p>
      <w:r>
        <w:rPr>
          <w:b/>
          <w:color w:val="171717"/>
        </w:rPr>
        <w:t>LinkedIn group check, May 21, 2026:</w:t>
      </w:r>
    </w:p>
    <w:p>
      <w:pPr>
        <w:pStyle w:val="ListBullet"/>
      </w:pPr>
      <w:r>
        <w:t>EWU Design Alumni group has 173 members.</w:t>
      </w:r>
    </w:p>
    <w:p>
      <w:pPr>
        <w:pStyle w:val="ListBullet"/>
      </w:pPr>
      <w:r>
        <w:t>Danielle Flinn is visible in the group as "Senior Product Designer | Design Systems, Accessibility, DesignOps, and UX Strategy." Local alumni roster shows 2019-2020 BDES Design, so she is strong but may be just outside a strict five-year window.</w:t>
      </w:r>
    </w:p>
    <w:p>
      <w:pPr>
        <w:pStyle w:val="ListBullet"/>
      </w:pPr>
      <w:r>
        <w:t>Gibelly Lopez-Benicio is in the 2025 VCD graduate file and appears in the group as "Graphic Designer I at Ignitium: ABX Orchestration." Strong current recent-alumni example for graphic design/marketing technology.</w:t>
      </w:r>
    </w:p>
    <w:p>
      <w:pPr>
        <w:pStyle w:val="ListBullet"/>
      </w:pPr>
      <w:r>
        <w:t>Savannah Johnson is in the alumni roster as 2020-2021 BDES Visual Communication Design and appears in the group as "UX Product Designer." Strong current recent-alumni example for UX/product design.</w:t>
      </w:r>
    </w:p>
    <w:p>
      <w:pPr>
        <w:pStyle w:val="ListBullet"/>
      </w:pPr>
      <w:r>
        <w:t>One previously considered alum was removed after the user's May 21, 2026 employment-status update.</w:t>
      </w:r>
    </w:p>
    <w:p>
      <w:pPr>
        <w:pStyle w:val="ListBullet"/>
      </w:pPr>
      <w:r>
        <w:t>Other LinkedIn-visible alumni examples include Sukhleen Bolina, senior product designer; Makayla Gonzalez, associate director of design at Billie; Victoria Coronado, senior graphic designer at King County Elections; and multiple older alumni in product design, front-end development, design leadership, marketing, and creative direction.</w:t>
      </w:r>
    </w:p>
    <w:p>
      <w:pPr>
        <w:pStyle w:val="ListBullet"/>
      </w:pPr>
      <w:r>
        <w:t>Current best recent-alumni set is Gibelly Lopez-Benicio and Savannah Johnson, plus one additional confirmed recent graduate still needed.</w:t>
      </w:r>
    </w:p>
    <w:p>
      <w:r>
        <w:rPr>
          <w:b/>
          <w:color w:val="171717"/>
        </w:rPr>
        <w:t>Profile links added to the site:</w:t>
      </w:r>
    </w:p>
    <w:p>
      <w:pPr>
        <w:pStyle w:val="ListBullet"/>
      </w:pPr>
      <w:r>
        <w:t>Gibelly Lopez-Benicio: https://www.linkedin.com/in/gibelly-lopez-095420286/</w:t>
      </w:r>
    </w:p>
    <w:p>
      <w:pPr>
        <w:pStyle w:val="ListBullet"/>
      </w:pPr>
      <w:r>
        <w:t>Savannah Johnson: https://www.linkedin.com/in/savannah-johnson-design/</w:t>
      </w:r>
    </w:p>
    <w:p>
      <w:pPr>
        <w:pStyle w:val="ListBullet"/>
      </w:pPr>
      <w:r>
        <w:t>Danielle Flinn: https://www.linkedin.com/in/danielle-flinn/</w:t>
      </w:r>
    </w:p>
    <w:p>
      <w:pPr>
        <w:pStyle w:val="ListBullet"/>
      </w:pPr>
      <w:r>
        <w:t>Millie Schnebly: https://www.linkedin.com/in/millicentmaker</w:t>
      </w:r>
    </w:p>
    <w:p>
      <w:pPr>
        <w:pStyle w:val="ListBullet"/>
      </w:pPr>
      <w:r>
        <w:t>Chance Woudenberg: https://www.linkedin.com/in/chancejenna</w:t>
      </w:r>
    </w:p>
    <w:p>
      <w:pPr>
        <w:pStyle w:val="Heading2"/>
      </w:pPr>
      <w:r>
        <w:t>4. Internal Demand</w:t>
      </w:r>
    </w:p>
    <w:p>
      <w:pPr>
        <w:pStyle w:val="DESNNote"/>
      </w:pPr>
      <w:r>
        <w:rPr>
          <w:b/>
        </w:rPr>
        <w:t>Draft angle:</w:t>
      </w:r>
      <w:r>
        <w:t xml:space="preserve"> DESN serves its own BDes students while also supporting other EWU programs through required/options courses, Gen Ed/service offerings, cross-listing, interdisciplinary projects, and student employment. Prior SRA notes name Public Relations, Computer Science, Technical Communication, GWSS, Honors, Sustainability, Biology, Business, Social Work, MarCom, and other campus units as connected beneficiaries.</w:t>
      </w:r>
    </w:p>
    <w:p>
      <w:r>
        <w:rPr>
          <w:b/>
          <w:color w:val="171717"/>
        </w:rPr>
        <w:t>Useful evidence:</w:t>
      </w:r>
    </w:p>
    <w:p>
      <w:pPr>
        <w:pStyle w:val="ListBullet"/>
      </w:pPr>
      <w:r>
        <w:t>Prior SRA answer identifies PR, Computer Science, and Technical Communication dependencies.</w:t>
      </w:r>
    </w:p>
    <w:p>
      <w:pPr>
        <w:pStyle w:val="ListBullet"/>
      </w:pPr>
      <w:r>
        <w:t>DESN 359 cross-listing with Honors appears in AY2425 course records.</w:t>
      </w:r>
    </w:p>
    <w:p>
      <w:pPr>
        <w:pStyle w:val="ListBullet"/>
      </w:pPr>
      <w:r>
        <w:t>Community/campus projects list includes offices and academic departments served by student work.</w:t>
      </w:r>
    </w:p>
    <w:p>
      <w:pPr>
        <w:pStyle w:val="ListBullet"/>
      </w:pPr>
      <w:r>
        <w:t>4D Lab supports other programs with large-format prints and fabrication resources.</w:t>
      </w:r>
    </w:p>
    <w:p>
      <w:pPr>
        <w:pStyle w:val="Heading2"/>
      </w:pPr>
      <w:r>
        <w:t>5. Efficiency, Growth, Barriers</w:t>
      </w:r>
    </w:p>
    <w:p>
      <w:pPr>
        <w:pStyle w:val="DESNNote"/>
      </w:pPr>
      <w:r>
        <w:rPr>
          <w:b/>
        </w:rPr>
        <w:t>Draft angle:</w:t>
      </w:r>
      <w:r>
        <w:t xml:space="preserve"> DESN has adapted through curriculum updates, 5-credit course conversion, certificate development, Catalyst relocation, SFCC articulation/pathways, applied-learning expansion, and new industry/community engagement structures. Barriers include advising load, balancing T/TT and lecturer labor, lab/equipment/software costs, Catalyst/Cheney transportation and student-service access, and need for technical support for labs/4D Lab.</w:t>
      </w:r>
    </w:p>
    <w:p>
      <w:r>
        <w:rPr>
          <w:b/>
          <w:color w:val="171717"/>
        </w:rPr>
        <w:t>Useful evidence:</w:t>
      </w:r>
    </w:p>
    <w:p>
      <w:pPr>
        <w:pStyle w:val="ListBullet"/>
      </w:pPr>
      <w:r>
        <w:t>Prior SRA text names the 4-credit to 5-credit conversion, Catalyst move, advising load, and T/TT balance.</w:t>
      </w:r>
    </w:p>
    <w:p>
      <w:pPr>
        <w:pStyle w:val="ListBullet"/>
      </w:pPr>
      <w:r>
        <w:t>CPAC 2025-26 workbook shows active curriculum revision.</w:t>
      </w:r>
    </w:p>
    <w:p>
      <w:pPr>
        <w:pStyle w:val="ListBullet"/>
      </w:pPr>
      <w:r>
        <w:t>SRA opportunity analysis names need for a T/TT line, emerging design technology, expanded 4D Lab, and additional community/industry collaboration resources.</w:t>
      </w:r>
    </w:p>
    <w:p>
      <w:pPr>
        <w:pStyle w:val="Heading2"/>
      </w:pPr>
      <w:r>
        <w:t>6. Applied Learning</w:t>
      </w:r>
    </w:p>
    <w:p>
      <w:pPr>
        <w:pStyle w:val="DESNNote"/>
      </w:pPr>
      <w:r>
        <w:rPr>
          <w:b/>
        </w:rPr>
        <w:t>Draft angle:</w:t>
      </w:r>
      <w:r>
        <w:t xml:space="preserve"> Applied learning is not an add-on in DESN; it is core pedagogy. Students work on client/community projects, internships, capstones, directed studies, portfolio/professional practice, industry-facing events, student employment, and lab-based making. Projects connect students with regional business, civic, nonprofit, educational, and cultural partners.</w:t>
      </w:r>
    </w:p>
    <w:p>
      <w:r>
        <w:rPr>
          <w:b/>
          <w:color w:val="171717"/>
        </w:rPr>
        <w:t>Useful evidence:</w:t>
      </w:r>
    </w:p>
    <w:p>
      <w:pPr>
        <w:pStyle w:val="ListBullet"/>
      </w:pPr>
      <w:r>
        <w:t>Community projects list from 2017-2023 includes Women Helping Women Fund, City of Spokane Public Works, Feast World Kitchen, Kalispel Natural Resources, Spokane Public Libraries, EWU Office of Sustainability, League of Women Voters, Innovia, Spark Central, Spokane Transit Authority, and others.</w:t>
      </w:r>
    </w:p>
    <w:p>
      <w:pPr>
        <w:pStyle w:val="ListBullet"/>
      </w:pPr>
      <w:r>
        <w:t>Senior capstone description in 2018 review includes real community partners, design briefs, audience analysis, research, brainstorming, production, presentation, peer/self evaluation.</w:t>
      </w:r>
    </w:p>
    <w:p>
      <w:pPr>
        <w:pStyle w:val="ListBullet"/>
      </w:pPr>
      <w:r>
        <w:t>Low Key Level Up evidence shows portfolio display and alumni/industry networking for graduating seniors.</w:t>
      </w:r>
    </w:p>
    <w:p>
      <w:pPr>
        <w:pStyle w:val="Heading2"/>
      </w:pPr>
      <w:r>
        <w:t>7. Other Information</w:t>
      </w:r>
    </w:p>
    <w:p>
      <w:pPr>
        <w:pStyle w:val="DESNNote"/>
      </w:pPr>
      <w:r>
        <w:rPr>
          <w:b/>
        </w:rPr>
        <w:t>Draft angle:</w:t>
      </w:r>
      <w:r>
        <w:t xml:space="preserve"> DESN's distinct value is that it functions as a regional design hub: a professional BDes program, a partner to campus units, a bridge to local employers and nonprofits, a maker/print/fabrication resource, and a student-success engine for first-generation and transfer students. It also has momentum in AI, UX/product design, front-end design, motion/animation, game design, sustainability, and community design.</w:t>
      </w:r>
    </w:p>
    <w:p>
      <w:r>
        <w:rPr>
          <w:b/>
          <w:color w:val="171717"/>
        </w:rPr>
        <w:t>Possible additions:</w:t>
      </w:r>
    </w:p>
    <w:p>
      <w:pPr>
        <w:pStyle w:val="ListBullet"/>
      </w:pPr>
      <w:r>
        <w:t>2025 VCD graduates: 45 listed.</w:t>
      </w:r>
    </w:p>
    <w:p>
      <w:pPr>
        <w:pStyle w:val="ListBullet"/>
      </w:pPr>
      <w:r>
        <w:t>2025 certificate completions: 38 listed.</w:t>
      </w:r>
    </w:p>
    <w:p>
      <w:pPr>
        <w:pStyle w:val="ListBullet"/>
      </w:pPr>
      <w:r>
        <w:t>Alumni roster through 2023-24: 825 records in DESN Alumni - updated Sept2024.xlsx.</w:t>
      </w:r>
    </w:p>
    <w:p>
      <w:pPr>
        <w:pStyle w:val="ListBullet"/>
      </w:pPr>
      <w:r>
        <w:t>Recent activities: AI talks/workshops, Risograph residency, student research presentations, NEWTech outreach, Zine Fest participation.</w:t>
      </w:r>
    </w:p>
    <w:p>
      <w:pPr>
        <w:pStyle w:val="Heading2"/>
      </w:pPr>
      <w:r>
        <w:t>Alumni Profile Links</w:t>
      </w:r>
    </w:p>
    <w:tbl>
      <w:tblPr>
        <w:tblStyle w:val="TableGrid"/>
        <w:tblW w:type="auto" w:w="0"/>
        <w:jc w:val="center"/>
        <w:tblLook w:firstColumn="1" w:firstRow="1" w:lastColumn="0" w:lastRow="0" w:noHBand="0" w:noVBand="1" w:val="04A0"/>
      </w:tblPr>
      <w:tblGrid>
        <w:gridCol w:w="4997"/>
        <w:gridCol w:w="4997"/>
      </w:tblGrid>
      <w:tr>
        <w:tc>
          <w:tcPr>
            <w:tcW w:type="dxa" w:w="4997"/>
            <w:vAlign w:val="top"/>
            <w:shd w:fill="171717"/>
          </w:tcPr>
          <w:p>
            <w:pPr>
              <w:spacing w:after="0"/>
            </w:pPr>
            <w:r>
              <w:rPr>
                <w:rFonts w:ascii="Aptos" w:hAnsi="Aptos" w:eastAsia="Aptos"/>
                <w:sz w:val="19"/>
              </w:rPr>
            </w:r>
            <w:r>
              <w:rPr>
                <w:rFonts w:ascii="Aptos" w:hAnsi="Aptos" w:eastAsia="Aptos"/>
                <w:b/>
                <w:color w:val="FFFFFF"/>
                <w:sz w:val="19"/>
              </w:rPr>
              <w:t>Alum</w:t>
            </w:r>
          </w:p>
        </w:tc>
        <w:tc>
          <w:tcPr>
            <w:tcW w:type="dxa" w:w="4997"/>
            <w:vAlign w:val="top"/>
            <w:shd w:fill="171717"/>
          </w:tcPr>
          <w:p>
            <w:pPr>
              <w:spacing w:after="0"/>
            </w:pPr>
            <w:r>
              <w:rPr>
                <w:rFonts w:ascii="Aptos" w:hAnsi="Aptos" w:eastAsia="Aptos"/>
                <w:sz w:val="19"/>
              </w:rPr>
            </w:r>
            <w:r>
              <w:rPr>
                <w:rFonts w:ascii="Aptos" w:hAnsi="Aptos" w:eastAsia="Aptos"/>
                <w:b/>
                <w:color w:val="FFFFFF"/>
                <w:sz w:val="19"/>
              </w:rPr>
              <w:t>Profile link</w:t>
            </w:r>
          </w:p>
        </w:tc>
      </w:tr>
      <w:tr>
        <w:tc>
          <w:tcPr>
            <w:tcW w:type="dxa" w:w="4997"/>
            <w:vAlign w:val="top"/>
          </w:tcPr>
          <w:p>
            <w:pPr>
              <w:spacing w:after="0"/>
            </w:pPr>
            <w:r>
              <w:rPr>
                <w:rFonts w:ascii="Aptos" w:hAnsi="Aptos" w:eastAsia="Aptos"/>
                <w:sz w:val="19"/>
              </w:rPr>
            </w:r>
            <w:r>
              <w:rPr>
                <w:rFonts w:ascii="Aptos" w:hAnsi="Aptos" w:eastAsia="Aptos"/>
                <w:b/>
                <w:color w:val="171717"/>
                <w:sz w:val="19"/>
              </w:rPr>
              <w:t>Gibelly Lopez-Benicio</w:t>
            </w:r>
          </w:p>
        </w:tc>
        <w:tc>
          <w:tcPr>
            <w:tcW w:type="dxa" w:w="4997"/>
          </w:tcPr>
          <w:p>
            <w:r>
              <w:rPr>
                <w:rFonts w:ascii="Aptos" w:hAnsi="Aptos" w:eastAsia="Aptos"/>
                <w:sz w:val="19"/>
              </w:rPr>
            </w:r>
            <w:hyperlink r:id="rId11">
              <w:r>
                <w:rPr>
                  <w:color w:val="355C9A"/>
                  <w:u w:val="single"/>
                </w:rPr>
                <w:t>https://www.linkedin.com/in/gibelly-lopez-095420286/</w:t>
              </w:r>
            </w:hyperlink>
          </w:p>
        </w:tc>
      </w:tr>
      <w:tr>
        <w:tc>
          <w:tcPr>
            <w:tcW w:type="dxa" w:w="4997"/>
            <w:vAlign w:val="top"/>
          </w:tcPr>
          <w:p>
            <w:pPr>
              <w:spacing w:after="0"/>
            </w:pPr>
            <w:r>
              <w:rPr>
                <w:rFonts w:ascii="Aptos" w:hAnsi="Aptos" w:eastAsia="Aptos"/>
                <w:sz w:val="19"/>
              </w:rPr>
            </w:r>
            <w:r>
              <w:rPr>
                <w:rFonts w:ascii="Aptos" w:hAnsi="Aptos" w:eastAsia="Aptos"/>
                <w:b/>
                <w:color w:val="171717"/>
                <w:sz w:val="19"/>
              </w:rPr>
              <w:t>Savannah Johnson</w:t>
            </w:r>
          </w:p>
        </w:tc>
        <w:tc>
          <w:tcPr>
            <w:tcW w:type="dxa" w:w="4997"/>
          </w:tcPr>
          <w:p>
            <w:r>
              <w:rPr>
                <w:rFonts w:ascii="Aptos" w:hAnsi="Aptos" w:eastAsia="Aptos"/>
                <w:sz w:val="19"/>
              </w:rPr>
            </w:r>
            <w:hyperlink r:id="rId12">
              <w:r>
                <w:rPr>
                  <w:color w:val="355C9A"/>
                  <w:u w:val="single"/>
                </w:rPr>
                <w:t>https://www.linkedin.com/in/savannah-johnson-design/</w:t>
              </w:r>
            </w:hyperlink>
          </w:p>
        </w:tc>
      </w:tr>
      <w:tr>
        <w:tc>
          <w:tcPr>
            <w:tcW w:type="dxa" w:w="4997"/>
            <w:vAlign w:val="top"/>
          </w:tcPr>
          <w:p>
            <w:pPr>
              <w:spacing w:after="0"/>
            </w:pPr>
            <w:r>
              <w:rPr>
                <w:rFonts w:ascii="Aptos" w:hAnsi="Aptos" w:eastAsia="Aptos"/>
                <w:sz w:val="19"/>
              </w:rPr>
            </w:r>
            <w:r>
              <w:rPr>
                <w:rFonts w:ascii="Aptos" w:hAnsi="Aptos" w:eastAsia="Aptos"/>
                <w:b/>
                <w:color w:val="171717"/>
                <w:sz w:val="19"/>
              </w:rPr>
              <w:t>Danielle Flinn</w:t>
            </w:r>
          </w:p>
        </w:tc>
        <w:tc>
          <w:tcPr>
            <w:tcW w:type="dxa" w:w="4997"/>
          </w:tcPr>
          <w:p>
            <w:r>
              <w:rPr>
                <w:rFonts w:ascii="Aptos" w:hAnsi="Aptos" w:eastAsia="Aptos"/>
                <w:sz w:val="19"/>
              </w:rPr>
            </w:r>
            <w:hyperlink r:id="rId13">
              <w:r>
                <w:rPr>
                  <w:color w:val="355C9A"/>
                  <w:u w:val="single"/>
                </w:rPr>
                <w:t>https://www.linkedin.com/in/danielle-flinn/</w:t>
              </w:r>
            </w:hyperlink>
          </w:p>
        </w:tc>
      </w:tr>
      <w:tr>
        <w:tc>
          <w:tcPr>
            <w:tcW w:type="dxa" w:w="4997"/>
            <w:vAlign w:val="top"/>
          </w:tcPr>
          <w:p>
            <w:pPr>
              <w:spacing w:after="0"/>
            </w:pPr>
            <w:r>
              <w:rPr>
                <w:rFonts w:ascii="Aptos" w:hAnsi="Aptos" w:eastAsia="Aptos"/>
                <w:sz w:val="19"/>
              </w:rPr>
            </w:r>
            <w:r>
              <w:rPr>
                <w:rFonts w:ascii="Aptos" w:hAnsi="Aptos" w:eastAsia="Aptos"/>
                <w:b/>
                <w:color w:val="171717"/>
                <w:sz w:val="19"/>
              </w:rPr>
              <w:t>Millie Schnebly</w:t>
            </w:r>
          </w:p>
        </w:tc>
        <w:tc>
          <w:tcPr>
            <w:tcW w:type="dxa" w:w="4997"/>
          </w:tcPr>
          <w:p>
            <w:r>
              <w:rPr>
                <w:rFonts w:ascii="Aptos" w:hAnsi="Aptos" w:eastAsia="Aptos"/>
                <w:sz w:val="19"/>
              </w:rPr>
            </w:r>
            <w:hyperlink r:id="rId14">
              <w:r>
                <w:rPr>
                  <w:color w:val="355C9A"/>
                  <w:u w:val="single"/>
                </w:rPr>
                <w:t>https://www.linkedin.com/in/millicentmaker</w:t>
              </w:r>
            </w:hyperlink>
          </w:p>
        </w:tc>
      </w:tr>
      <w:tr>
        <w:tc>
          <w:tcPr>
            <w:tcW w:type="dxa" w:w="4997"/>
            <w:vAlign w:val="top"/>
          </w:tcPr>
          <w:p>
            <w:pPr>
              <w:spacing w:after="0"/>
            </w:pPr>
            <w:r>
              <w:rPr>
                <w:rFonts w:ascii="Aptos" w:hAnsi="Aptos" w:eastAsia="Aptos"/>
                <w:sz w:val="19"/>
              </w:rPr>
            </w:r>
            <w:r>
              <w:rPr>
                <w:rFonts w:ascii="Aptos" w:hAnsi="Aptos" w:eastAsia="Aptos"/>
                <w:b/>
                <w:color w:val="171717"/>
                <w:sz w:val="19"/>
              </w:rPr>
              <w:t>Chance Woudenberg</w:t>
            </w:r>
          </w:p>
        </w:tc>
        <w:tc>
          <w:tcPr>
            <w:tcW w:type="dxa" w:w="4997"/>
          </w:tcPr>
          <w:p>
            <w:r>
              <w:rPr>
                <w:rFonts w:ascii="Aptos" w:hAnsi="Aptos" w:eastAsia="Aptos"/>
                <w:sz w:val="19"/>
              </w:rPr>
            </w:r>
            <w:hyperlink r:id="rId15">
              <w:r>
                <w:rPr>
                  <w:color w:val="355C9A"/>
                  <w:u w:val="single"/>
                </w:rPr>
                <w:t>https://www.linkedin.com/in/chancejenna</w:t>
              </w:r>
            </w:hyperlink>
          </w:p>
        </w:tc>
      </w:tr>
    </w:tbl>
    <w:p>
      <w:pPr>
        <w:pStyle w:val="DESNEyebrow"/>
      </w:pPr>
      <w:r>
        <w:t>DRAFT COPY</w:t>
      </w:r>
    </w:p>
    <w:p>
      <w:pPr>
        <w:pStyle w:val="Heading1"/>
      </w:pPr>
      <w:r>
        <w:t>Expanded Drafts To Edit Down</w:t>
      </w:r>
    </w:p>
    <w:p>
      <w:pPr>
        <w:pStyle w:val="DESNNote"/>
      </w:pPr>
      <w:r>
        <w:t>These draft responses are intentionally fuller than the first pass but remain below the 1500-character form limit.</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top"/>
            <w:shd w:fill="171717"/>
          </w:tcPr>
          <w:p>
            <w:pPr>
              <w:spacing w:after="0"/>
            </w:pPr>
            <w:r>
              <w:rPr>
                <w:rFonts w:ascii="Aptos" w:hAnsi="Aptos" w:eastAsia="Aptos"/>
                <w:sz w:val="19"/>
              </w:rPr>
            </w:r>
            <w:r>
              <w:rPr>
                <w:rFonts w:ascii="Aptos" w:hAnsi="Aptos" w:eastAsia="Aptos"/>
                <w:b/>
                <w:color w:val="FFFFFF"/>
                <w:sz w:val="19"/>
              </w:rPr>
              <w:t>Question</w:t>
            </w:r>
          </w:p>
        </w:tc>
        <w:tc>
          <w:tcPr>
            <w:tcW w:type="dxa" w:w="3331"/>
            <w:vAlign w:val="top"/>
            <w:shd w:fill="171717"/>
          </w:tcPr>
          <w:p>
            <w:pPr>
              <w:spacing w:after="0"/>
            </w:pPr>
            <w:r>
              <w:rPr>
                <w:rFonts w:ascii="Aptos" w:hAnsi="Aptos" w:eastAsia="Aptos"/>
                <w:sz w:val="19"/>
              </w:rPr>
            </w:r>
            <w:r>
              <w:rPr>
                <w:rFonts w:ascii="Aptos" w:hAnsi="Aptos" w:eastAsia="Aptos"/>
                <w:b/>
                <w:color w:val="FFFFFF"/>
                <w:sz w:val="19"/>
              </w:rPr>
              <w:t>Draft</w:t>
            </w:r>
          </w:p>
        </w:tc>
        <w:tc>
          <w:tcPr>
            <w:tcW w:type="dxa" w:w="3331"/>
            <w:vAlign w:val="top"/>
            <w:shd w:fill="171717"/>
          </w:tcPr>
          <w:p>
            <w:pPr>
              <w:spacing w:after="0"/>
            </w:pPr>
            <w:r>
              <w:rPr>
                <w:rFonts w:ascii="Aptos" w:hAnsi="Aptos" w:eastAsia="Aptos"/>
                <w:sz w:val="19"/>
              </w:rPr>
            </w:r>
            <w:r>
              <w:rPr>
                <w:rFonts w:ascii="Aptos" w:hAnsi="Aptos" w:eastAsia="Aptos"/>
                <w:b/>
                <w:color w:val="FFFFFF"/>
                <w:sz w:val="19"/>
              </w:rPr>
              <w:t>Characters</w:t>
            </w:r>
          </w:p>
        </w:tc>
      </w:tr>
      <w:tr>
        <w:tc>
          <w:tcPr>
            <w:tcW w:type="dxa" w:w="3331"/>
            <w:vAlign w:val="top"/>
          </w:tcPr>
          <w:p>
            <w:pPr>
              <w:spacing w:after="0"/>
            </w:pPr>
            <w:r>
              <w:rPr>
                <w:rFonts w:ascii="Aptos" w:hAnsi="Aptos" w:eastAsia="Aptos"/>
                <w:sz w:val="19"/>
              </w:rPr>
            </w:r>
            <w:r>
              <w:rPr>
                <w:rFonts w:ascii="Aptos" w:hAnsi="Aptos" w:eastAsia="Aptos"/>
                <w:b/>
                <w:color w:val="171717"/>
                <w:sz w:val="19"/>
              </w:rPr>
              <w:t>1</w:t>
            </w:r>
          </w:p>
        </w:tc>
        <w:tc>
          <w:tcPr>
            <w:tcW w:type="dxa" w:w="3331"/>
            <w:vAlign w:val="top"/>
          </w:tcPr>
          <w:p>
            <w:pPr>
              <w:spacing w:after="0"/>
            </w:pPr>
            <w:r>
              <w:rPr>
                <w:rFonts w:ascii="Aptos" w:hAnsi="Aptos" w:eastAsia="Aptos"/>
                <w:sz w:val="19"/>
              </w:rPr>
            </w:r>
            <w:r>
              <w:rPr>
                <w:rFonts w:ascii="Aptos" w:hAnsi="Aptos" w:eastAsia="Aptos"/>
                <w:b w:val="0"/>
                <w:color w:val="171717"/>
                <w:sz w:val="19"/>
              </w:rPr>
              <w:t>Philosophy and Graduate Outcomes</w:t>
            </w:r>
          </w:p>
        </w:tc>
        <w:tc>
          <w:tcPr>
            <w:tcW w:type="dxa" w:w="3331"/>
            <w:vAlign w:val="top"/>
          </w:tcPr>
          <w:p>
            <w:pPr>
              <w:spacing w:after="0"/>
            </w:pPr>
            <w:r>
              <w:rPr>
                <w:rFonts w:ascii="Aptos" w:hAnsi="Aptos" w:eastAsia="Aptos"/>
                <w:sz w:val="19"/>
              </w:rPr>
            </w:r>
            <w:r>
              <w:rPr>
                <w:rFonts w:ascii="Aptos" w:hAnsi="Aptos" w:eastAsia="Aptos"/>
                <w:b w:val="0"/>
                <w:color w:val="171717"/>
                <w:sz w:val="19"/>
              </w:rPr>
              <w:t>945/1500</w:t>
            </w:r>
          </w:p>
        </w:tc>
      </w:tr>
      <w:tr>
        <w:tc>
          <w:tcPr>
            <w:tcW w:type="dxa" w:w="3331"/>
            <w:vAlign w:val="top"/>
          </w:tcPr>
          <w:p>
            <w:pPr>
              <w:spacing w:after="0"/>
            </w:pPr>
            <w:r>
              <w:rPr>
                <w:rFonts w:ascii="Aptos" w:hAnsi="Aptos" w:eastAsia="Aptos"/>
                <w:sz w:val="19"/>
              </w:rPr>
            </w:r>
            <w:r>
              <w:rPr>
                <w:rFonts w:ascii="Aptos" w:hAnsi="Aptos" w:eastAsia="Aptos"/>
                <w:b/>
                <w:color w:val="171717"/>
                <w:sz w:val="19"/>
              </w:rPr>
              <w:t>2</w:t>
            </w:r>
          </w:p>
        </w:tc>
        <w:tc>
          <w:tcPr>
            <w:tcW w:type="dxa" w:w="3331"/>
            <w:vAlign w:val="top"/>
          </w:tcPr>
          <w:p>
            <w:pPr>
              <w:spacing w:after="0"/>
            </w:pPr>
            <w:r>
              <w:rPr>
                <w:rFonts w:ascii="Aptos" w:hAnsi="Aptos" w:eastAsia="Aptos"/>
                <w:sz w:val="19"/>
              </w:rPr>
            </w:r>
            <w:r>
              <w:rPr>
                <w:rFonts w:ascii="Aptos" w:hAnsi="Aptos" w:eastAsia="Aptos"/>
                <w:b w:val="0"/>
                <w:color w:val="171717"/>
                <w:sz w:val="19"/>
              </w:rPr>
              <w:t>EWU Mission, Vision, Values Alignment</w:t>
            </w:r>
          </w:p>
        </w:tc>
        <w:tc>
          <w:tcPr>
            <w:tcW w:type="dxa" w:w="3331"/>
            <w:vAlign w:val="top"/>
          </w:tcPr>
          <w:p>
            <w:pPr>
              <w:spacing w:after="0"/>
            </w:pPr>
            <w:r>
              <w:rPr>
                <w:rFonts w:ascii="Aptos" w:hAnsi="Aptos" w:eastAsia="Aptos"/>
                <w:sz w:val="19"/>
              </w:rPr>
            </w:r>
            <w:r>
              <w:rPr>
                <w:rFonts w:ascii="Aptos" w:hAnsi="Aptos" w:eastAsia="Aptos"/>
                <w:b w:val="0"/>
                <w:color w:val="171717"/>
                <w:sz w:val="19"/>
              </w:rPr>
              <w:t>973/1500</w:t>
            </w:r>
          </w:p>
        </w:tc>
      </w:tr>
      <w:tr>
        <w:tc>
          <w:tcPr>
            <w:tcW w:type="dxa" w:w="3331"/>
            <w:vAlign w:val="top"/>
          </w:tcPr>
          <w:p>
            <w:pPr>
              <w:spacing w:after="0"/>
            </w:pPr>
            <w:r>
              <w:rPr>
                <w:rFonts w:ascii="Aptos" w:hAnsi="Aptos" w:eastAsia="Aptos"/>
                <w:sz w:val="19"/>
              </w:rPr>
            </w:r>
            <w:r>
              <w:rPr>
                <w:rFonts w:ascii="Aptos" w:hAnsi="Aptos" w:eastAsia="Aptos"/>
                <w:b/>
                <w:color w:val="171717"/>
                <w:sz w:val="19"/>
              </w:rPr>
              <w:t>3</w:t>
            </w:r>
          </w:p>
        </w:tc>
        <w:tc>
          <w:tcPr>
            <w:tcW w:type="dxa" w:w="3331"/>
            <w:vAlign w:val="top"/>
          </w:tcPr>
          <w:p>
            <w:pPr>
              <w:spacing w:after="0"/>
            </w:pPr>
            <w:r>
              <w:rPr>
                <w:rFonts w:ascii="Aptos" w:hAnsi="Aptos" w:eastAsia="Aptos"/>
                <w:sz w:val="19"/>
              </w:rPr>
            </w:r>
            <w:r>
              <w:rPr>
                <w:rFonts w:ascii="Aptos" w:hAnsi="Aptos" w:eastAsia="Aptos"/>
                <w:b w:val="0"/>
                <w:color w:val="171717"/>
                <w:sz w:val="19"/>
              </w:rPr>
              <w:t>Recent Alumni Examples</w:t>
            </w:r>
          </w:p>
        </w:tc>
        <w:tc>
          <w:tcPr>
            <w:tcW w:type="dxa" w:w="3331"/>
            <w:vAlign w:val="top"/>
          </w:tcPr>
          <w:p>
            <w:pPr>
              <w:spacing w:after="0"/>
            </w:pPr>
            <w:r>
              <w:rPr>
                <w:rFonts w:ascii="Aptos" w:hAnsi="Aptos" w:eastAsia="Aptos"/>
                <w:sz w:val="19"/>
              </w:rPr>
            </w:r>
            <w:r>
              <w:rPr>
                <w:rFonts w:ascii="Aptos" w:hAnsi="Aptos" w:eastAsia="Aptos"/>
                <w:b w:val="0"/>
                <w:color w:val="171717"/>
                <w:sz w:val="19"/>
              </w:rPr>
              <w:t>1054/1500</w:t>
            </w:r>
          </w:p>
        </w:tc>
      </w:tr>
      <w:tr>
        <w:tc>
          <w:tcPr>
            <w:tcW w:type="dxa" w:w="3331"/>
            <w:vAlign w:val="top"/>
          </w:tcPr>
          <w:p>
            <w:pPr>
              <w:spacing w:after="0"/>
            </w:pPr>
            <w:r>
              <w:rPr>
                <w:rFonts w:ascii="Aptos" w:hAnsi="Aptos" w:eastAsia="Aptos"/>
                <w:sz w:val="19"/>
              </w:rPr>
            </w:r>
            <w:r>
              <w:rPr>
                <w:rFonts w:ascii="Aptos" w:hAnsi="Aptos" w:eastAsia="Aptos"/>
                <w:b/>
                <w:color w:val="171717"/>
                <w:sz w:val="19"/>
              </w:rPr>
              <w:t>4</w:t>
            </w:r>
          </w:p>
        </w:tc>
        <w:tc>
          <w:tcPr>
            <w:tcW w:type="dxa" w:w="3331"/>
            <w:vAlign w:val="top"/>
          </w:tcPr>
          <w:p>
            <w:pPr>
              <w:spacing w:after="0"/>
            </w:pPr>
            <w:r>
              <w:rPr>
                <w:rFonts w:ascii="Aptos" w:hAnsi="Aptos" w:eastAsia="Aptos"/>
                <w:sz w:val="19"/>
              </w:rPr>
            </w:r>
            <w:r>
              <w:rPr>
                <w:rFonts w:ascii="Aptos" w:hAnsi="Aptos" w:eastAsia="Aptos"/>
                <w:b w:val="0"/>
                <w:color w:val="171717"/>
                <w:sz w:val="19"/>
              </w:rPr>
              <w:t>Internal Demand</w:t>
            </w:r>
          </w:p>
        </w:tc>
        <w:tc>
          <w:tcPr>
            <w:tcW w:type="dxa" w:w="3331"/>
            <w:vAlign w:val="top"/>
          </w:tcPr>
          <w:p>
            <w:pPr>
              <w:spacing w:after="0"/>
            </w:pPr>
            <w:r>
              <w:rPr>
                <w:rFonts w:ascii="Aptos" w:hAnsi="Aptos" w:eastAsia="Aptos"/>
                <w:sz w:val="19"/>
              </w:rPr>
            </w:r>
            <w:r>
              <w:rPr>
                <w:rFonts w:ascii="Aptos" w:hAnsi="Aptos" w:eastAsia="Aptos"/>
                <w:b w:val="0"/>
                <w:color w:val="171717"/>
                <w:sz w:val="19"/>
              </w:rPr>
              <w:t>964/1500</w:t>
            </w:r>
          </w:p>
        </w:tc>
      </w:tr>
      <w:tr>
        <w:tc>
          <w:tcPr>
            <w:tcW w:type="dxa" w:w="3331"/>
            <w:vAlign w:val="top"/>
          </w:tcPr>
          <w:p>
            <w:pPr>
              <w:spacing w:after="0"/>
            </w:pPr>
            <w:r>
              <w:rPr>
                <w:rFonts w:ascii="Aptos" w:hAnsi="Aptos" w:eastAsia="Aptos"/>
                <w:sz w:val="19"/>
              </w:rPr>
            </w:r>
            <w:r>
              <w:rPr>
                <w:rFonts w:ascii="Aptos" w:hAnsi="Aptos" w:eastAsia="Aptos"/>
                <w:b/>
                <w:color w:val="171717"/>
                <w:sz w:val="19"/>
              </w:rPr>
              <w:t>5</w:t>
            </w:r>
          </w:p>
        </w:tc>
        <w:tc>
          <w:tcPr>
            <w:tcW w:type="dxa" w:w="3331"/>
            <w:vAlign w:val="top"/>
          </w:tcPr>
          <w:p>
            <w:pPr>
              <w:spacing w:after="0"/>
            </w:pPr>
            <w:r>
              <w:rPr>
                <w:rFonts w:ascii="Aptos" w:hAnsi="Aptos" w:eastAsia="Aptos"/>
                <w:sz w:val="19"/>
              </w:rPr>
            </w:r>
            <w:r>
              <w:rPr>
                <w:rFonts w:ascii="Aptos" w:hAnsi="Aptos" w:eastAsia="Aptos"/>
                <w:b w:val="0"/>
                <w:color w:val="171717"/>
                <w:sz w:val="19"/>
              </w:rPr>
              <w:t>Efficiency, Growth, Barriers</w:t>
            </w:r>
          </w:p>
        </w:tc>
        <w:tc>
          <w:tcPr>
            <w:tcW w:type="dxa" w:w="3331"/>
            <w:vAlign w:val="top"/>
          </w:tcPr>
          <w:p>
            <w:pPr>
              <w:spacing w:after="0"/>
            </w:pPr>
            <w:r>
              <w:rPr>
                <w:rFonts w:ascii="Aptos" w:hAnsi="Aptos" w:eastAsia="Aptos"/>
                <w:sz w:val="19"/>
              </w:rPr>
            </w:r>
            <w:r>
              <w:rPr>
                <w:rFonts w:ascii="Aptos" w:hAnsi="Aptos" w:eastAsia="Aptos"/>
                <w:b w:val="0"/>
                <w:color w:val="171717"/>
                <w:sz w:val="19"/>
              </w:rPr>
              <w:t>1059/1500</w:t>
            </w:r>
          </w:p>
        </w:tc>
      </w:tr>
      <w:tr>
        <w:tc>
          <w:tcPr>
            <w:tcW w:type="dxa" w:w="3331"/>
            <w:vAlign w:val="top"/>
          </w:tcPr>
          <w:p>
            <w:pPr>
              <w:spacing w:after="0"/>
            </w:pPr>
            <w:r>
              <w:rPr>
                <w:rFonts w:ascii="Aptos" w:hAnsi="Aptos" w:eastAsia="Aptos"/>
                <w:sz w:val="19"/>
              </w:rPr>
            </w:r>
            <w:r>
              <w:rPr>
                <w:rFonts w:ascii="Aptos" w:hAnsi="Aptos" w:eastAsia="Aptos"/>
                <w:b/>
                <w:color w:val="171717"/>
                <w:sz w:val="19"/>
              </w:rPr>
              <w:t>6</w:t>
            </w:r>
          </w:p>
        </w:tc>
        <w:tc>
          <w:tcPr>
            <w:tcW w:type="dxa" w:w="3331"/>
            <w:vAlign w:val="top"/>
          </w:tcPr>
          <w:p>
            <w:pPr>
              <w:spacing w:after="0"/>
            </w:pPr>
            <w:r>
              <w:rPr>
                <w:rFonts w:ascii="Aptos" w:hAnsi="Aptos" w:eastAsia="Aptos"/>
                <w:sz w:val="19"/>
              </w:rPr>
            </w:r>
            <w:r>
              <w:rPr>
                <w:rFonts w:ascii="Aptos" w:hAnsi="Aptos" w:eastAsia="Aptos"/>
                <w:b w:val="0"/>
                <w:color w:val="171717"/>
                <w:sz w:val="19"/>
              </w:rPr>
              <w:t>Applied Learning</w:t>
            </w:r>
          </w:p>
        </w:tc>
        <w:tc>
          <w:tcPr>
            <w:tcW w:type="dxa" w:w="3331"/>
            <w:vAlign w:val="top"/>
          </w:tcPr>
          <w:p>
            <w:pPr>
              <w:spacing w:after="0"/>
            </w:pPr>
            <w:r>
              <w:rPr>
                <w:rFonts w:ascii="Aptos" w:hAnsi="Aptos" w:eastAsia="Aptos"/>
                <w:sz w:val="19"/>
              </w:rPr>
            </w:r>
            <w:r>
              <w:rPr>
                <w:rFonts w:ascii="Aptos" w:hAnsi="Aptos" w:eastAsia="Aptos"/>
                <w:b w:val="0"/>
                <w:color w:val="171717"/>
                <w:sz w:val="19"/>
              </w:rPr>
              <w:t>938/1500</w:t>
            </w:r>
          </w:p>
        </w:tc>
      </w:tr>
      <w:tr>
        <w:tc>
          <w:tcPr>
            <w:tcW w:type="dxa" w:w="3331"/>
            <w:vAlign w:val="top"/>
          </w:tcPr>
          <w:p>
            <w:pPr>
              <w:spacing w:after="0"/>
            </w:pPr>
            <w:r>
              <w:rPr>
                <w:rFonts w:ascii="Aptos" w:hAnsi="Aptos" w:eastAsia="Aptos"/>
                <w:sz w:val="19"/>
              </w:rPr>
            </w:r>
            <w:r>
              <w:rPr>
                <w:rFonts w:ascii="Aptos" w:hAnsi="Aptos" w:eastAsia="Aptos"/>
                <w:b/>
                <w:color w:val="171717"/>
                <w:sz w:val="19"/>
              </w:rPr>
              <w:t>7</w:t>
            </w:r>
          </w:p>
        </w:tc>
        <w:tc>
          <w:tcPr>
            <w:tcW w:type="dxa" w:w="3331"/>
            <w:vAlign w:val="top"/>
          </w:tcPr>
          <w:p>
            <w:pPr>
              <w:spacing w:after="0"/>
            </w:pPr>
            <w:r>
              <w:rPr>
                <w:rFonts w:ascii="Aptos" w:hAnsi="Aptos" w:eastAsia="Aptos"/>
                <w:sz w:val="19"/>
              </w:rPr>
            </w:r>
            <w:r>
              <w:rPr>
                <w:rFonts w:ascii="Aptos" w:hAnsi="Aptos" w:eastAsia="Aptos"/>
                <w:b w:val="0"/>
                <w:color w:val="171717"/>
                <w:sz w:val="19"/>
              </w:rPr>
              <w:t>Other Information</w:t>
            </w:r>
          </w:p>
        </w:tc>
        <w:tc>
          <w:tcPr>
            <w:tcW w:type="dxa" w:w="3331"/>
            <w:vAlign w:val="top"/>
          </w:tcPr>
          <w:p>
            <w:pPr>
              <w:spacing w:after="0"/>
            </w:pPr>
            <w:r>
              <w:rPr>
                <w:rFonts w:ascii="Aptos" w:hAnsi="Aptos" w:eastAsia="Aptos"/>
                <w:sz w:val="19"/>
              </w:rPr>
            </w:r>
            <w:r>
              <w:rPr>
                <w:rFonts w:ascii="Aptos" w:hAnsi="Aptos" w:eastAsia="Aptos"/>
                <w:b w:val="0"/>
                <w:color w:val="171717"/>
                <w:sz w:val="19"/>
              </w:rPr>
              <w:t>979/1500</w:t>
            </w:r>
          </w:p>
        </w:tc>
      </w:tr>
    </w:tbl>
    <w:p>
      <w:pPr>
        <w:pStyle w:val="Heading2"/>
      </w:pPr>
      <w:r>
        <w:t>1. Philosophy and Graduate Outcomes</w:t>
      </w:r>
    </w:p>
    <w:p>
      <w:pPr>
        <w:pStyle w:val="DESNEyebrow"/>
      </w:pPr>
      <w:r>
        <w:t>945/1500 characters</w:t>
      </w:r>
    </w:p>
    <w:p>
      <w:pPr>
        <w:pStyle w:val="DESNDraftBody"/>
      </w:pPr>
      <w:r>
        <w:t>DESN prepares students to become adaptive, socially conscious visual designers who can think, make, critique, and present across changing media environments. The program treats design as a disciplined process: students learn visual vocabulary, typography, image-making, systems thinking, research, audience analysis, prototyping, technical production, and reflection. Studio courses ask students to move between analog craft, digital tools, human-centered methods, collaboration, and public presentation. Graduates should leave with a professional portfolio and an ability to define problems, test solutions, respond to feedback, and communicate responsibly with real audiences, clients, and communities. They should also understand design as a civic and economic practice, not only a styling practice, and be prepared for careers in graphic design, UX/product design, web/front-end design, motion, media, marketing, and related creative fields.</w:t>
      </w:r>
    </w:p>
    <w:p>
      <w:pPr>
        <w:pStyle w:val="Heading2"/>
      </w:pPr>
      <w:r>
        <w:t>2. EWU Mission, Vision, Values Alignment</w:t>
      </w:r>
    </w:p>
    <w:p>
      <w:pPr>
        <w:pStyle w:val="DESNEyebrow"/>
      </w:pPr>
      <w:r>
        <w:t>973/1500 characters</w:t>
      </w:r>
    </w:p>
    <w:p>
      <w:pPr>
        <w:pStyle w:val="DESNDraftBody"/>
      </w:pPr>
      <w:r>
        <w:t>DESN aligns with EWU's mission by making applied, inclusive, career-connected learning the center of the curriculum. The program serves many first-generation, transfer, regional, and working students by giving them access to professional design tools, critique culture, portfolio development, internships, and client-based work. Studio projects translate EWU values into practice: students design for nonprofit, civic, educational, cultural, environmental, and campus partners; they address accessibility, sustainability, audience needs, and social impact; and they learn to collaborate across differences. The program supports regional workforce development by preparing graduates for high-demand visual communication, UX, web, marketing, and digital media roles. It also contributes to EWU's cultural and economic objectives by making student work visible in the community, connecting students to employers, and producing design capacity for campus and regional partners.</w:t>
      </w:r>
    </w:p>
    <w:p>
      <w:pPr>
        <w:pStyle w:val="Heading2"/>
      </w:pPr>
      <w:r>
        <w:t>3. Recent Alumni Examples</w:t>
      </w:r>
    </w:p>
    <w:p>
      <w:pPr>
        <w:pStyle w:val="DESNEyebrow"/>
      </w:pPr>
      <w:r>
        <w:t>1054/1500 characters</w:t>
      </w:r>
    </w:p>
    <w:p>
      <w:pPr>
        <w:pStyle w:val="DESNDraftBody"/>
      </w:pPr>
      <w:r>
        <w:t>Recent alumni show the range of demand for DESN graduates across graphic design, UX/product design, marketing technology, and digital communication. Gibelly Lopez-Benicio, a 2025 BDes VCD graduate, is a strong current example for entry into professional graphic design and marketing-technology work; her visible LinkedIn group role is Graphic Designer I at Ignitium: ABX Orchestration. Savannah Johnson, listed locally as a 2020-2021 BDes Visual Communication Design graduate, is a strong UX/product design example; her visible LinkedIn group role is UX Product Designer. A third recent alum should be confirmed before submission, ideally someone representing civic/media design, front-end/web design, regional agency work, or design leadership. Together, these examples connect the program to current employment demand in user experience, accessibility, design systems, digital marketing, web/product work, and regional communication needs. Use this section only after confirming current titles, employers, and permission or comfort with being featured.</w:t>
      </w:r>
    </w:p>
    <w:p>
      <w:pPr>
        <w:pStyle w:val="Heading2"/>
      </w:pPr>
      <w:r>
        <w:t>4. Internal Demand</w:t>
      </w:r>
    </w:p>
    <w:p>
      <w:pPr>
        <w:pStyle w:val="DESNEyebrow"/>
      </w:pPr>
      <w:r>
        <w:t>964/1500 characters</w:t>
      </w:r>
    </w:p>
    <w:p>
      <w:pPr>
        <w:pStyle w:val="DESNDraftBody"/>
      </w:pPr>
      <w:r>
        <w:t>DESN serves internal demand in two ways: it supports majors in the BDes pathway and it provides design capacity, coursework, and applied-learning partnerships for other parts of EWU. Students from Public Relations, Computer Science, Technical Communication, Honors, Sustainability, Biology, Business, Social Work, GWSS, and other areas intersect with DESN through required or optional coursework, cross-listed classes, service courses, interdisciplinary projects, and campus employment. The program also supports EWU units through student design work for offices, events, publications, campaigns, and community-facing projects. The 4D Lab and related making/print resources extend this internal service role by helping students and programs produce visual, physical, and digital communication artifacts. In that sense, DESN is not an isolated major; it is part of the university's communication, recruitment, outreach, research, and student-success infrastructure.</w:t>
      </w:r>
    </w:p>
    <w:p>
      <w:pPr>
        <w:pStyle w:val="Heading2"/>
      </w:pPr>
      <w:r>
        <w:t>5. Efficiency, Growth, Barriers</w:t>
      </w:r>
    </w:p>
    <w:p>
      <w:pPr>
        <w:pStyle w:val="DESNEyebrow"/>
      </w:pPr>
      <w:r>
        <w:t>1059/1500 characters</w:t>
      </w:r>
    </w:p>
    <w:p>
      <w:pPr>
        <w:pStyle w:val="DESNDraftBody"/>
      </w:pPr>
      <w:r>
        <w:t>DESN has pursued efficiency and growth through curriculum revision, conversion to 5-credit course structures, certificate development, transfer/articulation pathways, relocation and programming at Catalyst, applied-learning expansion, and stronger links to industry/community partners. The program has also identified changes that can help it respond to student and market demand: clarifying BDes requirements, considering whether certificates should become minors, updating pathways in UX, front-end/web, motion, design engineering, and graphic design, and strengthening portfolio-to-employment transitions. The main barriers are structural rather than lack of demand: advising load, the balance of tenure-track and lecturer staffing, software/equipment/lab costs, transportation and student-service access between Cheney and Catalyst, and technical support for labs and the 4D Lab. Continued growth will depend on protecting studio quality while updating curriculum for emerging technologies, accessibility, AI, product design, and regional workforce needs.</w:t>
      </w:r>
    </w:p>
    <w:p>
      <w:pPr>
        <w:pStyle w:val="Heading2"/>
      </w:pPr>
      <w:r>
        <w:t>6. Applied Learning</w:t>
      </w:r>
    </w:p>
    <w:p>
      <w:pPr>
        <w:pStyle w:val="DESNEyebrow"/>
      </w:pPr>
      <w:r>
        <w:t>938/1500 characters</w:t>
      </w:r>
    </w:p>
    <w:p>
      <w:pPr>
        <w:pStyle w:val="DESNDraftBody"/>
      </w:pPr>
      <w:r>
        <w:t>Applied learning is the program's core method, not a supplemental activity. DESN students learn by making work for real audiences, presenting to peers and clients, revising through critique, and reflecting on both process and impact. Across studios, capstones, internships, directed studies, professional practice, student employment, and lab-based production, students practice research, audience analysis, concept development, prototyping, technical execution, project management, and presentation. Community and campus projects connect students with regional business, civic, nonprofit, educational, cultural, and environmental partners such as public agencies, libraries, sustainability offices, foundations, transit and civic organizations, and local cultural groups. These experiences respond to regional and societal needs while giving students portfolio evidence, professional confidence, and a clearer transition into employment.</w:t>
      </w:r>
    </w:p>
    <w:p>
      <w:pPr>
        <w:pStyle w:val="Heading2"/>
      </w:pPr>
      <w:r>
        <w:t>7. Other Information</w:t>
      </w:r>
    </w:p>
    <w:p>
      <w:pPr>
        <w:pStyle w:val="DESNEyebrow"/>
      </w:pPr>
      <w:r>
        <w:t>979/1500 characters</w:t>
      </w:r>
    </w:p>
    <w:p>
      <w:pPr>
        <w:pStyle w:val="DESNDraftBody"/>
      </w:pPr>
      <w:r>
        <w:t>DESN's value is larger than the number of majors it serves. The program functions as a regional design hub: a professional BDes pathway, a collaborator for campus units, a source of design capacity for nonprofits and public partners, a maker/print/fabrication resource, and a bridge between students and the creative economy. It is also an access point for first-generation, transfer, and regional students who may not otherwise have professional design networks, critique culture, current software/hardware, or portfolio support. Recent activity shows momentum in AI, UX/product design, front-end design, motion/animation, game-related work, Risograph and print culture, sustainability, community design, and student research. The program's future opportunity is to keep that breadth coherent: preserve the hands-on studio foundation while investing in staffing, advising, lab support, industry partnerships, and curricular pathways that reflect where design practice is moving.</w:t>
      </w:r>
    </w:p>
    <w:p>
      <w:pPr>
        <w:pStyle w:val="DESNEyebrow"/>
      </w:pPr>
      <w:r>
        <w:t>NEXT DISCUSSION</w:t>
      </w:r>
    </w:p>
    <w:p>
      <w:pPr>
        <w:pStyle w:val="Heading1"/>
      </w:pPr>
      <w:r>
        <w:t>Interview Questions</w:t>
      </w:r>
    </w:p>
    <w:p>
      <w:pPr>
        <w:pStyle w:val="ListNumber"/>
      </w:pPr>
      <w:r>
        <w:t>Which three alumni should we feature, and can you confirm their current title/company/work?</w:t>
      </w:r>
    </w:p>
    <w:p>
      <w:pPr>
        <w:pStyle w:val="ListNumber"/>
      </w:pPr>
      <w:r>
        <w:t>Do we want the program name in the form to be "Design" or "Visual Communication Design / BDes in Visual Communication Design" in the prose?</w:t>
      </w:r>
    </w:p>
    <w:p>
      <w:pPr>
        <w:pStyle w:val="ListNumber"/>
      </w:pPr>
      <w:r>
        <w:t>What is the current preferred way to describe the department after the Catalyst move and any Art/Design merger context?</w:t>
      </w:r>
    </w:p>
    <w:p>
      <w:pPr>
        <w:pStyle w:val="ListNumber"/>
      </w:pPr>
      <w:r>
        <w:t>Should we mention the certificate-to-minor discussions, or keep planned curriculum language more general until decisions are official?</w:t>
      </w:r>
    </w:p>
    <w:p>
      <w:pPr>
        <w:pStyle w:val="ListNumber"/>
      </w:pPr>
      <w:r>
        <w:t>Are the 2025 graduate/certificate counts safe to use, or should we use a different official census source?</w:t>
      </w:r>
    </w:p>
    <w:p>
      <w:pPr>
        <w:pStyle w:val="ListNumber"/>
      </w:pPr>
      <w:r>
        <w:t>What barriers feel most important politically: transportation/student access, staffing balance, advising load, lab/technology support, or all of the above?</w:t>
      </w:r>
    </w:p>
    <w:p>
      <w:pPr>
        <w:pStyle w:val="ListNumber"/>
      </w:pPr>
      <w:r>
        <w:t>For "other information," do we want to emphasize student success/access, regional workforce, community partnerships, emerging technology, or resource need?</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864"/>
        <w:sz w:val="16"/>
      </w:rPr>
      <w:t>Working draft - May 21,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864"/>
        <w:sz w:val="16"/>
      </w:rPr>
      <w:t>DESN Program Review Self-Study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Georgia" w:hAnsi="Georgia" w:eastAsia="Georgia"/>
      <w:b/>
      <w:bCs/>
      <w:color w:val="171717"/>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w:hAnsi="Aptos" w:eastAsia="Aptos"/>
      <w:b/>
      <w:bCs/>
      <w:color w:val="171717"/>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w:hAnsi="Aptos" w:eastAsia="Aptos"/>
      <w:b/>
      <w:bCs/>
      <w:color w:val="17171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Georgia" w:hAnsi="Georgia" w:eastAsia="Georgia"/>
      <w:b/>
      <w:color w:val="171717"/>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SNEyebrow">
    <w:name w:val="DESN Eyebrow"/>
    <w:pPr>
      <w:spacing w:after="60"/>
    </w:pPr>
    <w:rPr>
      <w:rFonts w:ascii="Aptos" w:hAnsi="Aptos" w:eastAsia="Aptos"/>
      <w:b/>
      <w:color w:val="C7352C"/>
      <w:sz w:val="17"/>
    </w:rPr>
  </w:style>
  <w:style w:type="paragraph" w:customStyle="1" w:styleId="DESNNote">
    <w:name w:val="DESN Note"/>
    <w:pPr>
      <w:spacing w:after="140"/>
      <w:ind w:left="173"/>
    </w:pPr>
    <w:rPr>
      <w:rFonts w:ascii="Aptos" w:hAnsi="Aptos" w:eastAsia="Aptos"/>
      <w:color w:val="4D504C"/>
      <w:sz w:val="20"/>
    </w:rPr>
  </w:style>
  <w:style w:type="paragraph" w:customStyle="1" w:styleId="DESNDraftBody">
    <w:name w:val="DESN Draft Body"/>
    <w:pPr>
      <w:spacing w:after="160"/>
      <w:ind w:left="259" w:right="72"/>
    </w:pPr>
    <w:rPr>
      <w:rFonts w:ascii="Aptos" w:hAnsi="Aptos" w:eastAsia="Apto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linkedin.com/in/gibelly-lopez-095420286/" TargetMode="External"/><Relationship Id="rId12" Type="http://schemas.openxmlformats.org/officeDocument/2006/relationships/hyperlink" Target="https://www.linkedin.com/in/savannah-johnson-design/" TargetMode="External"/><Relationship Id="rId13" Type="http://schemas.openxmlformats.org/officeDocument/2006/relationships/hyperlink" Target="https://www.linkedin.com/in/danielle-flinn/" TargetMode="External"/><Relationship Id="rId14" Type="http://schemas.openxmlformats.org/officeDocument/2006/relationships/hyperlink" Target="https://www.linkedin.com/in/millicentmaker" TargetMode="External"/><Relationship Id="rId15" Type="http://schemas.openxmlformats.org/officeDocument/2006/relationships/hyperlink" Target="https://www.linkedin.com/in/chancejenn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