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7F7F7F"/>
          <w:spacing w:val="40"/>
          <w:sz w:val="22"/>
          <w:szCs w:val="22"/>
        </w:rPr>
        <w:t xml:space="preserve">EXPLORATORY DATA ANALYSIS REPORT</w:t>
      </w:r>
    </w:p>
    <w:p>
      <w:pPr>
        <w:spacing w:after="120"/>
      </w:pPr>
      <w:r>
        <w:rPr>
          <w:b/>
          <w:bCs/>
          <w:color w:val="1F4E79"/>
          <w:sz w:val="56"/>
          <w:szCs w:val="56"/>
        </w:rPr>
        <w:t xml:space="preserve">Algerian Forest Fires Dataset</w:t>
      </w:r>
    </w:p>
    <w:p>
      <w:pPr>
        <w:pBdr>
          <w:bottom w:val="single" w:color="1F4E79" w:sz="12" w:space="8"/>
        </w:pBdr>
        <w:spacing w:after="300"/>
      </w:pPr>
      <w:r>
        <w:rPr>
          <w:color w:val="595959"/>
          <w:sz w:val="26"/>
          <w:szCs w:val="26"/>
        </w:rPr>
        <w:t xml:space="preserve">Data quality, distributions, outliers and feature relationships</w:t>
      </w:r>
    </w:p>
    <w:p>
      <w:pPr>
        <w:spacing w:after="40"/>
      </w:pPr>
      <w:r>
        <w:rPr>
          <w:b/>
          <w:bCs/>
        </w:rPr>
        <w:t xml:space="preserve">Source notebook: </w:t>
      </w:r>
      <w:r>
        <w:t xml:space="preserve">eda.ipynb</w:t>
      </w:r>
    </w:p>
    <w:p>
      <w:pPr>
        <w:spacing w:after="40"/>
      </w:pPr>
      <w:r>
        <w:rPr>
          <w:b/>
          <w:bCs/>
        </w:rPr>
        <w:t xml:space="preserve">Dataset file: </w:t>
      </w:r>
      <w:r>
        <w:t xml:space="preserve">Dataset/clean_dataset.csv</w:t>
      </w:r>
    </w:p>
    <w:p>
      <w:pPr>
        <w:spacing w:after="40"/>
      </w:pPr>
      <w:r>
        <w:rPr>
          <w:b/>
          <w:bCs/>
        </w:rPr>
        <w:t xml:space="preserve">Tools: </w:t>
      </w:r>
      <w:r>
        <w:t xml:space="preserve">Python, pandas, NumPy, Matplotlib, Seaborn</w:t>
      </w:r>
    </w:p>
    <w:p>
      <w:pPr>
        <w:spacing w:after="300"/>
      </w:pPr>
      <w:r>
        <w:rPr>
          <w:b/>
          <w:bCs/>
        </w:rPr>
        <w:t xml:space="preserve">Report date: </w:t>
      </w:r>
      <w:r>
        <w:t xml:space="preserve">21 October 2026</w:t>
      </w:r>
    </w:p>
    <w:p>
      <w:pPr>
        <w:pStyle w:val="Heading1"/>
      </w:pPr>
      <w:r>
        <w:t xml:space="preserve">1. Executive Summary</w:t>
      </w:r>
    </w:p>
    <w:p>
      <w:pPr>
        <w:spacing w:after="120" w:line="276"/>
      </w:pPr>
      <w:r>
        <w:t xml:space="preserve">This report documents the exploratory data analysis (EDA) carried out in the accompanying notebook on a cleaned forest-fire dataset. Each record describes one day of weather conditions and Canadian Forest Fire Weather Index (FWI) system components, together with a binary label indicating whether a fire occurred.</w:t>
      </w:r>
    </w:p>
    <w:p>
      <w:pPr>
        <w:pStyle w:val="ListParagraph"/>
        <w:numPr>
          <w:ilvl w:val="0"/>
          <w:numId w:val="2"/>
        </w:numPr>
        <w:spacing w:after="60" w:line="276"/>
      </w:pPr>
      <w:r>
        <w:rPr>
          <w:b/>
          <w:bCs/>
        </w:rPr>
        <w:t xml:space="preserve">Size and quality: </w:t>
      </w:r>
      <w:r>
        <w:t xml:space="preserve">243 rows and 15 columns, with no missing values in any column.</w:t>
      </w:r>
    </w:p>
    <w:p>
      <w:pPr>
        <w:pStyle w:val="ListParagraph"/>
        <w:numPr>
          <w:ilvl w:val="0"/>
          <w:numId w:val="2"/>
        </w:numPr>
        <w:spacing w:after="60" w:line="276"/>
      </w:pPr>
      <w:r>
        <w:rPr>
          <w:b/>
          <w:bCs/>
        </w:rPr>
        <w:t xml:space="preserve">Target balance: </w:t>
      </w:r>
      <w:r>
        <w:t xml:space="preserve">Classes is mildly imbalanced toward fire – about 137 fire days (56.4%) versus 106 non-fire days (43.6%).</w:t>
      </w:r>
    </w:p>
    <w:p>
      <w:pPr>
        <w:pStyle w:val="ListParagraph"/>
        <w:numPr>
          <w:ilvl w:val="0"/>
          <w:numId w:val="2"/>
        </w:numPr>
        <w:spacing w:after="60" w:line="276"/>
      </w:pPr>
      <w:r>
        <w:rPr>
          <w:b/>
          <w:bCs/>
        </w:rPr>
        <w:t xml:space="preserve">Strongest predictors: </w:t>
      </w:r>
      <w:r>
        <w:t xml:space="preserve">FFMC (r = 0.77), ISI (0.74) and FWI (0.72) correlate most strongly with fire occurrence; wind speed has almost no linear relationship with it.</w:t>
      </w:r>
    </w:p>
    <w:p>
      <w:pPr>
        <w:pStyle w:val="ListParagraph"/>
        <w:numPr>
          <w:ilvl w:val="0"/>
          <w:numId w:val="2"/>
        </w:numPr>
        <w:spacing w:after="60" w:line="276"/>
      </w:pPr>
      <w:r>
        <w:rPr>
          <w:b/>
          <w:bCs/>
        </w:rPr>
        <w:t xml:space="preserve">Distribution shape: </w:t>
      </w:r>
      <w:r>
        <w:t xml:space="preserve">Rain, DMC, DC, ISI, BUI and FWI are right-skewed with long upper tails; FFMC is left-skewed; Temperature and Ws are roughly bell-shaped.</w:t>
      </w:r>
    </w:p>
    <w:p>
      <w:pPr>
        <w:pStyle w:val="ListParagraph"/>
        <w:numPr>
          <w:ilvl w:val="0"/>
          <w:numId w:val="2"/>
        </w:numPr>
        <w:spacing w:after="60" w:line="276"/>
      </w:pPr>
      <w:r>
        <w:rPr>
          <w:b/>
          <w:bCs/>
        </w:rPr>
        <w:t xml:space="preserve">Multicollinearity: </w:t>
      </w:r>
      <w:r>
        <w:t xml:space="preserve">Several FWI-system features are almost redundant (DMC–BUI r = 0.98, DC–BUI r = 0.94, ISI–FWI r = 0.92), which matters for linear and distance-based models.</w:t>
      </w:r>
    </w:p>
    <w:p>
      <w:pPr>
        <w:pStyle w:val="Heading1"/>
      </w:pPr>
      <w:r>
        <w:t xml:space="preserve">2. Dataset Overview</w:t>
      </w:r>
    </w:p>
    <w:p>
      <w:pPr>
        <w:spacing w:after="120" w:line="276"/>
      </w:pPr>
      <w:r>
        <w:t xml:space="preserve">The notebook loads the data with pd.read_csv and inspects it using head(), dtypes and columns. The table below lists every column, its pandas data type and its meaning.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0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left"/>
            </w:pPr>
            <w:r>
              <w:rPr>
                <w:b/>
                <w:bCs/>
                <w:color w:val="FFFFFF"/>
                <w:sz w:val="20"/>
                <w:szCs w:val="20"/>
              </w:rPr>
              <w:t xml:space="preserve">Column</w:t>
            </w:r>
          </w:p>
        </w:tc>
        <w:tc>
          <w:tcPr>
            <w:tcW w:type="dxa" w:w="1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center"/>
            </w:pPr>
            <w:r>
              <w:rPr>
                <w:b/>
                <w:bCs/>
                <w:color w:val="FFFFFF"/>
                <w:sz w:val="20"/>
                <w:szCs w:val="20"/>
              </w:rPr>
              <w:t xml:space="preserve">Dtype</w:t>
            </w:r>
          </w:p>
        </w:tc>
        <w:tc>
          <w:tcPr>
            <w:tcW w:type="dxa" w:w="6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center"/>
            </w:pPr>
            <w:r>
              <w:rPr>
                <w:b/>
                <w:bCs/>
                <w:color w:val="FFFFFF"/>
                <w:sz w:val="20"/>
                <w:szCs w:val="20"/>
              </w:rPr>
              <w:t xml:space="preserve">Description</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20"/>
                <w:szCs w:val="20"/>
              </w:rPr>
              <w:t xml:space="preserve">day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20"/>
                <w:szCs w:val="20"/>
              </w:rPr>
              <w:t xml:space="preserve">float64</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Day of month (1–31)</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20"/>
                <w:szCs w:val="20"/>
              </w:rPr>
              <w:t xml:space="preserve">month</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20"/>
                <w:szCs w:val="20"/>
              </w:rPr>
              <w:t xml:space="preserve">float64</w:t>
            </w:r>
          </w:p>
        </w:tc>
        <w:tc>
          <w:tcPr>
            <w:tcW w:type="dxa" w:w="6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Month (6 = June … 9 = September)</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20"/>
                <w:szCs w:val="20"/>
              </w:rPr>
              <w:t xml:space="preserve">year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20"/>
                <w:szCs w:val="20"/>
              </w:rPr>
              <w:t xml:space="preserve">float64</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Year (2012 for all records)</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20"/>
                <w:szCs w:val="20"/>
              </w:rPr>
              <w:t xml:space="preserve">Temperature</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20"/>
                <w:szCs w:val="20"/>
              </w:rPr>
              <w:t xml:space="preserve">float64</w:t>
            </w:r>
          </w:p>
        </w:tc>
        <w:tc>
          <w:tcPr>
            <w:tcW w:type="dxa" w:w="6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Midday temperature (°C)</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20"/>
                <w:szCs w:val="20"/>
              </w:rPr>
              <w:t xml:space="preserve">RH</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20"/>
                <w:szCs w:val="20"/>
              </w:rPr>
              <w:t xml:space="preserve">float64</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Relative humidity (%)</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20"/>
                <w:szCs w:val="20"/>
              </w:rPr>
              <w:t xml:space="preserve">Ws</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20"/>
                <w:szCs w:val="20"/>
              </w:rPr>
              <w:t xml:space="preserve">float64</w:t>
            </w:r>
          </w:p>
        </w:tc>
        <w:tc>
          <w:tcPr>
            <w:tcW w:type="dxa" w:w="6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Wind speed (km/h)</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20"/>
                <w:szCs w:val="20"/>
              </w:rPr>
              <w:t xml:space="preserve">Rain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20"/>
                <w:szCs w:val="20"/>
              </w:rPr>
              <w:t xml:space="preserve">float64</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Rainfall (mm)</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20"/>
                <w:szCs w:val="20"/>
              </w:rPr>
              <w:t xml:space="preserve">FFMC</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20"/>
                <w:szCs w:val="20"/>
              </w:rPr>
              <w:t xml:space="preserve">float64</w:t>
            </w:r>
          </w:p>
        </w:tc>
        <w:tc>
          <w:tcPr>
            <w:tcW w:type="dxa" w:w="6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Fine Fuel Moisture Code (FWI system)</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20"/>
                <w:szCs w:val="20"/>
              </w:rPr>
              <w:t xml:space="preserve">DMC</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20"/>
                <w:szCs w:val="20"/>
              </w:rPr>
              <w:t xml:space="preserve">float64</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Duff Moisture Code (FWI system)</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20"/>
                <w:szCs w:val="20"/>
              </w:rPr>
              <w:t xml:space="preserve">DC</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20"/>
                <w:szCs w:val="20"/>
              </w:rPr>
              <w:t xml:space="preserve">float64</w:t>
            </w:r>
          </w:p>
        </w:tc>
        <w:tc>
          <w:tcPr>
            <w:tcW w:type="dxa" w:w="6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Drought Code (FWI system)</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20"/>
                <w:szCs w:val="20"/>
              </w:rPr>
              <w:t xml:space="preserve">ISI</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20"/>
                <w:szCs w:val="20"/>
              </w:rPr>
              <w:t xml:space="preserve">float64</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Initial Spread Index (FWI system)</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20"/>
                <w:szCs w:val="20"/>
              </w:rPr>
              <w:t xml:space="preserve">BUI</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20"/>
                <w:szCs w:val="20"/>
              </w:rPr>
              <w:t xml:space="preserve">float64</w:t>
            </w:r>
          </w:p>
        </w:tc>
        <w:tc>
          <w:tcPr>
            <w:tcW w:type="dxa" w:w="6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Buildup Index (FWI system)</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20"/>
                <w:szCs w:val="20"/>
              </w:rPr>
              <w:t xml:space="preserve">FWI</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20"/>
                <w:szCs w:val="20"/>
              </w:rPr>
              <w:t xml:space="preserve">float64</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Fire Weather Index (FWI system)</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20"/>
                <w:szCs w:val="20"/>
              </w:rPr>
              <w:t xml:space="preserve">Classes</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20"/>
                <w:szCs w:val="20"/>
              </w:rPr>
              <w:t xml:space="preserve">int64</w:t>
            </w:r>
          </w:p>
        </w:tc>
        <w:tc>
          <w:tcPr>
            <w:tcW w:type="dxa" w:w="6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Target: 1 = fire, 0 = no fire</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20"/>
                <w:szCs w:val="20"/>
              </w:rPr>
              <w:t xml:space="preserve">region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20"/>
                <w:szCs w:val="20"/>
              </w:rPr>
              <w:t xml:space="preserve">float64</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Region indicator (0 / 1)</w:t>
            </w:r>
          </w:p>
        </w:tc>
      </w:tr>
    </w:tbl>
    <w:p>
      <w:pPr>
        <w:spacing w:after="200" w:before="60"/>
        <w:jc w:val="center"/>
      </w:pPr>
      <w:r>
        <w:rPr>
          <w:i/>
          <w:iCs/>
          <w:color w:val="595959"/>
          <w:sz w:val="18"/>
          <w:szCs w:val="18"/>
        </w:rPr>
        <w:t xml:space="preserve">Table 1. Columns in the dataset (descriptions follow the public UCI Algerian Forest Fires documentation; the notebook itself does not define them)</w:t>
      </w:r>
    </w:p>
    <w:p>
      <w:pPr>
        <w:spacing w:after="120" w:line="276"/>
      </w:pPr>
      <w:r>
        <w:t xml:space="preserve">Observations are daily records from June to September 2012 (day, month and year range from 1–31, 6–9 and 2012 respectively). The first rows show early-June days with low fire-weather indices and Classes = 0, consistent with the start of the season.</w:t>
      </w:r>
    </w:p>
    <w:p>
      <w:pPr>
        <w:pBdr>
          <w:left w:val="single" w:color="1F4E79" w:sz="24" w:space="10"/>
        </w:pBdr>
        <w:shd w:fill="EAF1F8" w:val="clear"/>
        <w:spacing w:after="200" w:before="120" w:line="276"/>
        <w:ind w:left="200"/>
      </w:pPr>
      <w:r>
        <w:rPr>
          <w:b/>
          <w:bCs/>
          <w:color w:val="1F4E79"/>
        </w:rPr>
        <w:t xml:space="preserve">Note. </w:t>
      </w:r>
      <w:r>
        <w:t xml:space="preserve">Several columns that are conceptually integers or categories (day, month, year, region) are stored as float64. This is harmless for EDA but is worth casting to int before modelling.</w:t>
      </w:r>
    </w:p>
    <w:p>
      <w:pPr>
        <w:pStyle w:val="Heading1"/>
      </w:pPr>
      <w:r>
        <w:t xml:space="preserve">3. Data Quality Checks</w:t>
      </w:r>
    </w:p>
    <w:p>
      <w:pPr>
        <w:pStyle w:val="Heading2"/>
      </w:pPr>
      <w:r>
        <w:t xml:space="preserve">3.1 Missing values</w:t>
      </w:r>
    </w:p>
    <w:p>
      <w:pPr>
        <w:spacing w:after="120" w:line="276"/>
      </w:pPr>
      <w:r>
        <w:t xml:space="preserve">Running df.isnull().sum() returned 0 for every column, and the total count of missing values is 0. No imputation is required.</w:t>
      </w:r>
    </w:p>
    <w:p>
      <w:pPr>
        <w:pStyle w:val="Heading2"/>
      </w:pPr>
      <w:r>
        <w:t xml:space="preserve">3.2 Value ranges</w:t>
      </w:r>
    </w:p>
    <w:p>
      <w:pPr>
        <w:spacing w:after="120" w:line="276"/>
      </w:pPr>
      <w:r>
        <w:t xml:space="preserve">Minimum and maximum values were computed for the 14 non-region columns. All values fall in plausible ranges for the meteorological and FWI variables:</w:t>
      </w:r>
    </w:p>
    <w:p>
      <w:pPr>
        <w:pStyle w:val="ListParagraph"/>
        <w:numPr>
          <w:ilvl w:val="0"/>
          <w:numId w:val="2"/>
        </w:numPr>
        <w:spacing w:after="60" w:line="276"/>
      </w:pPr>
      <w:r>
        <w:t xml:space="preserve">Temperature spans 22–42 °C and relative humidity spans 21–90%.</w:t>
      </w:r>
    </w:p>
    <w:p>
      <w:pPr>
        <w:pStyle w:val="ListParagraph"/>
        <w:numPr>
          <w:ilvl w:val="0"/>
          <w:numId w:val="2"/>
        </w:numPr>
        <w:spacing w:after="60" w:line="276"/>
      </w:pPr>
      <w:r>
        <w:t xml:space="preserve">Wind speed spans 6–29 km/h; rainfall spans 0–16.8 mm.</w:t>
      </w:r>
    </w:p>
    <w:p>
      <w:pPr>
        <w:pStyle w:val="ListParagraph"/>
        <w:numPr>
          <w:ilvl w:val="0"/>
          <w:numId w:val="2"/>
        </w:numPr>
        <w:spacing w:after="60" w:line="276"/>
      </w:pPr>
      <w:r>
        <w:t xml:space="preserve">FFMC spans 28.6–96.0, DMC 0.7–65.9, DC 6.9–220.4, ISI 0.0–19.0, BUI 1.1–68.0 and FWI 0.0–31.1.</w:t>
      </w:r>
    </w:p>
    <w:p>
      <w:pPr>
        <w:pStyle w:val="ListParagraph"/>
        <w:numPr>
          <w:ilvl w:val="0"/>
          <w:numId w:val="2"/>
        </w:numPr>
        <w:spacing w:after="60" w:line="276"/>
      </w:pPr>
      <w:r>
        <w:t xml:space="preserve">Classes contains only 0 and 1; the date fields confirm a single season (2012, months 6–9).</w:t>
      </w:r>
    </w:p>
    <w:p>
      <w:pPr>
        <w:spacing w:after="120" w:line="276"/>
      </w:pPr>
      <w:r>
        <w:t xml:space="preserve">No impossible or negative values were found, so no records need to be removed on data-quality grounds.</w:t>
      </w:r>
    </w:p>
    <w:p>
      <w:pPr>
        <w:pStyle w:val="Heading1"/>
      </w:pPr>
      <w:r>
        <w:t xml:space="preserve">4. Outlier Analysis</w:t>
      </w:r>
    </w:p>
    <w:p>
      <w:pPr>
        <w:spacing w:after="120" w:line="276"/>
      </w:pPr>
      <w:r>
        <w:t xml:space="preserve">A boxplot was drawn for every column in the notebook (the complete set for the ten continuous variables is in Appendix A). To summarise them, the table below applies the standard 1.5 × IQR rule to the quartiles reported by describe(); points beyond the fences are the dots drawn by the boxplots.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1000"/>
        <w:gridCol w:w="1000"/>
        <w:gridCol w:w="2400"/>
        <w:gridCol w:w="3276"/>
      </w:tblGrid>
      <w:tr>
        <w:trPr>
          <w:tblHeader/>
        </w:trPr>
        <w:tc>
          <w:tcPr>
            <w:tcW w:type="dxa" w:w="13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left"/>
            </w:pPr>
            <w:r>
              <w:rPr>
                <w:b/>
                <w:bCs/>
                <w:color w:val="FFFFFF"/>
                <w:sz w:val="19"/>
                <w:szCs w:val="19"/>
              </w:rPr>
              <w:t xml:space="preserve">Variable</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center"/>
            </w:pPr>
            <w:r>
              <w:rPr>
                <w:b/>
                <w:bCs/>
                <w:color w:val="FFFFFF"/>
                <w:sz w:val="19"/>
                <w:szCs w:val="19"/>
              </w:rPr>
              <w:t xml:space="preserve">Lower fence</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center"/>
            </w:pPr>
            <w:r>
              <w:rPr>
                <w:b/>
                <w:bCs/>
                <w:color w:val="FFFFFF"/>
                <w:sz w:val="19"/>
                <w:szCs w:val="19"/>
              </w:rPr>
              <w:t xml:space="preserve">Upper fence</w:t>
            </w:r>
          </w:p>
        </w:tc>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center"/>
            </w:pPr>
            <w:r>
              <w:rPr>
                <w:b/>
                <w:bCs/>
                <w:color w:val="FFFFFF"/>
                <w:sz w:val="19"/>
                <w:szCs w:val="19"/>
              </w:rPr>
              <w:t xml:space="preserve">Points beyond fences</w:t>
            </w:r>
          </w:p>
        </w:tc>
        <w:tc>
          <w:tcPr>
            <w:tcW w:type="dxa" w:w="327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center"/>
            </w:pPr>
            <w:r>
              <w:rPr>
                <w:b/>
                <w:bCs/>
                <w:color w:val="FFFFFF"/>
                <w:sz w:val="19"/>
                <w:szCs w:val="19"/>
              </w:rPr>
              <w:t xml:space="preserve">Comment</w:t>
            </w:r>
          </w:p>
        </w:tc>
      </w:tr>
      <w:tr>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19"/>
                <w:szCs w:val="19"/>
              </w:rPr>
              <w:t xml:space="preserve">Temperature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9"/>
                <w:szCs w:val="19"/>
              </w:rPr>
              <w:t xml:space="preserve">22.5</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9"/>
                <w:szCs w:val="19"/>
              </w:rPr>
              <w:t xml:space="preserve">42.5</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19"/>
                <w:szCs w:val="19"/>
              </w:rPr>
              <w:t xml:space="preserve">Low (22 °C)</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19"/>
                <w:szCs w:val="19"/>
              </w:rPr>
              <w:t xml:space="preserve">Mild – a single cool day</w:t>
            </w:r>
          </w:p>
        </w:tc>
      </w:tr>
      <w:tr>
        <w:tc>
          <w:tcPr>
            <w:tcW w:type="dxa" w:w="13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19"/>
                <w:szCs w:val="19"/>
              </w:rPr>
              <w:t xml:space="preserve">RH</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9"/>
                <w:szCs w:val="19"/>
              </w:rPr>
              <w:t xml:space="preserve">21.0</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9"/>
                <w:szCs w:val="19"/>
              </w:rPr>
              <w:t xml:space="preserve">105.0</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19"/>
                <w:szCs w:val="19"/>
              </w:rPr>
              <w:t xml:space="preserve">None</w:t>
            </w:r>
          </w:p>
        </w:tc>
        <w:tc>
          <w:tcPr>
            <w:tcW w:type="dxa" w:w="327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19"/>
                <w:szCs w:val="19"/>
              </w:rPr>
              <w:t xml:space="preserve">Min sits exactly on the lower fence</w:t>
            </w:r>
          </w:p>
        </w:tc>
      </w:tr>
      <w:tr>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19"/>
                <w:szCs w:val="19"/>
              </w:rPr>
              <w:t xml:space="preserve">Ws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9"/>
                <w:szCs w:val="19"/>
              </w:rPr>
              <w:t xml:space="preserve">9.5</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9"/>
                <w:szCs w:val="19"/>
              </w:rPr>
              <w:t xml:space="preserve">21.5</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19"/>
                <w:szCs w:val="19"/>
              </w:rPr>
              <w:t xml:space="preserve">Low and high (6; 26–29)</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19"/>
                <w:szCs w:val="19"/>
              </w:rPr>
              <w:t xml:space="preserve">A few calm / very windy days</w:t>
            </w:r>
          </w:p>
        </w:tc>
      </w:tr>
      <w:tr>
        <w:tc>
          <w:tcPr>
            <w:tcW w:type="dxa" w:w="13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19"/>
                <w:szCs w:val="19"/>
              </w:rPr>
              <w:t xml:space="preserve">Rain</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9"/>
                <w:szCs w:val="19"/>
              </w:rPr>
              <w:t xml:space="preserve">–0.75</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9"/>
                <w:szCs w:val="19"/>
              </w:rPr>
              <w:t xml:space="preserve">1.25</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19"/>
                <w:szCs w:val="19"/>
              </w:rPr>
              <w:t xml:space="preserve">High (up to 16.8 mm)</w:t>
            </w:r>
          </w:p>
        </w:tc>
        <w:tc>
          <w:tcPr>
            <w:tcW w:type="dxa" w:w="327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19"/>
                <w:szCs w:val="19"/>
              </w:rPr>
              <w:t xml:space="preserve">Many – most days are dry</w:t>
            </w:r>
          </w:p>
        </w:tc>
      </w:tr>
      <w:tr>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19"/>
                <w:szCs w:val="19"/>
              </w:rPr>
              <w:t xml:space="preserve">FFMC</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9"/>
                <w:szCs w:val="19"/>
              </w:rPr>
              <w:t xml:space="preserve">47.2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9"/>
                <w:szCs w:val="19"/>
              </w:rPr>
              <w:t xml:space="preserve">113.0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19"/>
                <w:szCs w:val="19"/>
              </w:rPr>
              <w:t xml:space="preserve">Low (down to 28.6)</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19"/>
                <w:szCs w:val="19"/>
              </w:rPr>
              <w:t xml:space="preserve">Rainy-day tail</w:t>
            </w:r>
          </w:p>
        </w:tc>
      </w:tr>
      <w:tr>
        <w:tc>
          <w:tcPr>
            <w:tcW w:type="dxa" w:w="13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19"/>
                <w:szCs w:val="19"/>
              </w:rPr>
              <w:t xml:space="preserve">DMC</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9"/>
                <w:szCs w:val="19"/>
              </w:rPr>
              <w:t xml:space="preserve">–</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9"/>
                <w:szCs w:val="19"/>
              </w:rPr>
              <w:t xml:space="preserve">43.3</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19"/>
                <w:szCs w:val="19"/>
              </w:rPr>
              <w:t xml:space="preserve">High (up to 65.9)</w:t>
            </w:r>
          </w:p>
        </w:tc>
        <w:tc>
          <w:tcPr>
            <w:tcW w:type="dxa" w:w="327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19"/>
                <w:szCs w:val="19"/>
              </w:rPr>
              <w:t xml:space="preserve">Late-season buildup</w:t>
            </w:r>
          </w:p>
        </w:tc>
      </w:tr>
      <w:tr>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19"/>
                <w:szCs w:val="19"/>
              </w:rPr>
              <w:t xml:space="preserve">DC</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9"/>
                <w:szCs w:val="19"/>
              </w:rPr>
              <w:t xml:space="preser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9"/>
                <w:szCs w:val="19"/>
              </w:rPr>
              <w:t xml:space="preserve">154.2</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19"/>
                <w:szCs w:val="19"/>
              </w:rPr>
              <w:t xml:space="preserve">High (up to 220.4)</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19"/>
                <w:szCs w:val="19"/>
              </w:rPr>
              <w:t xml:space="preserve">Late-season drought</w:t>
            </w:r>
          </w:p>
        </w:tc>
      </w:tr>
      <w:tr>
        <w:tc>
          <w:tcPr>
            <w:tcW w:type="dxa" w:w="13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19"/>
                <w:szCs w:val="19"/>
              </w:rPr>
              <w:t xml:space="preserve">ISI</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9"/>
                <w:szCs w:val="19"/>
              </w:rPr>
              <w:t xml:space="preserve">–</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9"/>
                <w:szCs w:val="19"/>
              </w:rPr>
              <w:t xml:space="preserve">16.0</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19"/>
                <w:szCs w:val="19"/>
              </w:rPr>
              <w:t xml:space="preserve">High (up to 19.0)</w:t>
            </w:r>
          </w:p>
        </w:tc>
        <w:tc>
          <w:tcPr>
            <w:tcW w:type="dxa" w:w="327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19"/>
                <w:szCs w:val="19"/>
              </w:rPr>
              <w:t xml:space="preserve">Few extreme-spread days</w:t>
            </w:r>
          </w:p>
        </w:tc>
      </w:tr>
      <w:tr>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19"/>
                <w:szCs w:val="19"/>
              </w:rPr>
              <w:t xml:space="preserve">BUI</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9"/>
                <w:szCs w:val="19"/>
              </w:rPr>
              <w:t xml:space="preser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9"/>
                <w:szCs w:val="19"/>
              </w:rPr>
              <w:t xml:space="preserve">47.6</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19"/>
                <w:szCs w:val="19"/>
              </w:rPr>
              <w:t xml:space="preserve">High (up to 68.0)</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19"/>
                <w:szCs w:val="19"/>
              </w:rPr>
              <w:t xml:space="preserve">Late-season buildup</w:t>
            </w:r>
          </w:p>
        </w:tc>
      </w:tr>
      <w:tr>
        <w:tc>
          <w:tcPr>
            <w:tcW w:type="dxa" w:w="13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19"/>
                <w:szCs w:val="19"/>
              </w:rPr>
              <w:t xml:space="preserve">FWI</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9"/>
                <w:szCs w:val="19"/>
              </w:rPr>
              <w:t xml:space="preserve">–</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9"/>
                <w:szCs w:val="19"/>
              </w:rPr>
              <w:t xml:space="preserve">27.6</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19"/>
                <w:szCs w:val="19"/>
              </w:rPr>
              <w:t xml:space="preserve">High (up to 31.1)</w:t>
            </w:r>
          </w:p>
        </w:tc>
        <w:tc>
          <w:tcPr>
            <w:tcW w:type="dxa" w:w="327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19"/>
                <w:szCs w:val="19"/>
              </w:rPr>
              <w:t xml:space="preserve">Few extreme-danger days</w:t>
            </w:r>
          </w:p>
        </w:tc>
      </w:tr>
    </w:tbl>
    <w:p>
      <w:pPr>
        <w:spacing w:after="200" w:before="60"/>
        <w:jc w:val="center"/>
      </w:pPr>
      <w:r>
        <w:rPr>
          <w:i/>
          <w:iCs/>
          <w:color w:val="595959"/>
          <w:sz w:val="18"/>
          <w:szCs w:val="18"/>
        </w:rPr>
        <w:t xml:space="preserve">Table 2. IQR fences and where outliers occur</w:t>
      </w:r>
    </w:p>
    <w:p>
      <w:pPr>
        <w:spacing w:after="120" w:line="276"/>
      </w:pPr>
      <w:r>
        <w:t xml:space="preserve">Most flagged points are genuine extremes rather than errors. For instance, the highest rainfall values (up to 16.8 mm) are real wet days, and the high DMC, DC and BUI values occur naturally as the dry season progresses. Rain is the most affected variable because over half of all days have no rainfall, so almost any wet day sits beyond the upper fence.</w:t>
      </w:r>
    </w:p>
    <w:p>
      <w:pPr>
        <w:pBdr>
          <w:left w:val="single" w:color="1F4E79" w:sz="24" w:space="10"/>
        </w:pBdr>
        <w:shd w:fill="EAF1F8" w:val="clear"/>
        <w:spacing w:after="200" w:before="120" w:line="276"/>
        <w:ind w:left="200"/>
      </w:pPr>
      <w:r>
        <w:rPr>
          <w:b/>
          <w:bCs/>
          <w:color w:val="1F4E79"/>
        </w:rPr>
        <w:t xml:space="preserve">Recommendation. </w:t>
      </w:r>
      <w:r>
        <w:t xml:space="preserve">Do not delete these points. If a model is sensitive to extremes, use a transformation (e.g. log1p) or a robust scaler instead.</w:t>
      </w:r>
    </w:p>
    <w:p>
      <w:pPr>
        <w:pStyle w:val="Heading1"/>
      </w:pPr>
      <w:r>
        <w:t xml:space="preserve">5. Distributions of Variables</w:t>
      </w:r>
    </w:p>
    <w:p>
      <w:pPr>
        <w:spacing w:after="120" w:line="276"/>
      </w:pPr>
      <w:r>
        <w:t xml:space="preserve">After the boxplots, the day, month and year columns were dropped, since they are date identifiers rather than predictors. Histograms (50 bins) were then plotted for the remaining 12 columns.</w:t>
      </w:r>
    </w:p>
    <w:p>
      <w:pPr>
        <w:spacing w:after="0" w:before="120"/>
        <w:jc w:val="center"/>
      </w:pPr>
      <w:r>
        <w:drawing>
          <wp:inline distT="0" distB="0" distL="0" distR="0">
            <wp:extent cx="5715000" cy="4314825"/>
            <wp:effectExtent t="0" r="0" b="0" l="0"/>
            <wp:docPr id="1" name="c9_15.png" descr="c9_15.png" title="c9_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314825"/>
                    </a:xfrm>
                    <a:prstGeom prst="rect">
                      <a:avLst/>
                    </a:prstGeom>
                  </pic:spPr>
                </pic:pic>
              </a:graphicData>
            </a:graphic>
          </wp:inline>
        </w:drawing>
      </w:r>
    </w:p>
    <w:p>
      <w:pPr>
        <w:spacing w:after="200" w:before="60"/>
        <w:jc w:val="center"/>
      </w:pPr>
      <w:r>
        <w:rPr>
          <w:i/>
          <w:iCs/>
          <w:color w:val="595959"/>
          <w:sz w:val="18"/>
          <w:szCs w:val="18"/>
        </w:rPr>
        <w:t xml:space="preserve">Figure 1. Histograms of all remaining variables</w:t>
      </w:r>
    </w:p>
    <w:p>
      <w:pPr>
        <w:pStyle w:val="Heading2"/>
      </w:pPr>
      <w:r>
        <w:t xml:space="preserve">5.1 What the histograms show</w:t>
      </w:r>
    </w:p>
    <w:p>
      <w:pPr>
        <w:pStyle w:val="ListParagraph"/>
        <w:numPr>
          <w:ilvl w:val="0"/>
          <w:numId w:val="2"/>
        </w:numPr>
        <w:spacing w:after="60" w:line="276"/>
      </w:pPr>
      <w:r>
        <w:rPr>
          <w:b/>
          <w:bCs/>
        </w:rPr>
        <w:t xml:space="preserve">Temperature: </w:t>
      </w:r>
      <w:r>
        <w:t xml:space="preserve">approximately symmetric, centred near 32 °C (mean 32.2, median 32.0), with most days between 30 and 35 °C.</w:t>
      </w:r>
    </w:p>
    <w:p>
      <w:pPr>
        <w:pStyle w:val="ListParagraph"/>
        <w:numPr>
          <w:ilvl w:val="0"/>
          <w:numId w:val="2"/>
        </w:numPr>
        <w:spacing w:after="60" w:line="276"/>
      </w:pPr>
      <w:r>
        <w:rPr>
          <w:b/>
          <w:bCs/>
        </w:rPr>
        <w:t xml:space="preserve">RH: </w:t>
      </w:r>
      <w:r>
        <w:t xml:space="preserve">wide and fairly flat between 40% and 85% (mean 62.0, median 63.0).</w:t>
      </w:r>
    </w:p>
    <w:p>
      <w:pPr>
        <w:pStyle w:val="ListParagraph"/>
        <w:numPr>
          <w:ilvl w:val="0"/>
          <w:numId w:val="2"/>
        </w:numPr>
        <w:spacing w:after="60" w:line="276"/>
      </w:pPr>
      <w:r>
        <w:rPr>
          <w:b/>
          <w:bCs/>
        </w:rPr>
        <w:t xml:space="preserve">Ws: </w:t>
      </w:r>
      <w:r>
        <w:t xml:space="preserve">tightly bell-shaped around 14–16 km/h, with a few extreme values on either side.</w:t>
      </w:r>
    </w:p>
    <w:p>
      <w:pPr>
        <w:pStyle w:val="ListParagraph"/>
        <w:numPr>
          <w:ilvl w:val="0"/>
          <w:numId w:val="2"/>
        </w:numPr>
        <w:spacing w:after="60" w:line="276"/>
      </w:pPr>
      <w:r>
        <w:rPr>
          <w:b/>
          <w:bCs/>
        </w:rPr>
        <w:t xml:space="preserve">Rain: </w:t>
      </w:r>
      <w:r>
        <w:t xml:space="preserve">extremely right-skewed. The 75th percentile is only 0.5 mm, so the vast majority of days are dry.</w:t>
      </w:r>
    </w:p>
    <w:p>
      <w:pPr>
        <w:pStyle w:val="ListParagraph"/>
        <w:numPr>
          <w:ilvl w:val="0"/>
          <w:numId w:val="2"/>
        </w:numPr>
        <w:spacing w:after="60" w:line="276"/>
      </w:pPr>
      <w:r>
        <w:rPr>
          <w:b/>
          <w:bCs/>
        </w:rPr>
        <w:t xml:space="preserve">FFMC: </w:t>
      </w:r>
      <w:r>
        <w:t xml:space="preserve">left-skewed (mean 77.8 &lt; median 83.3), with most days clustered at 80–92 and a thin tail of damp-fuel days.</w:t>
      </w:r>
    </w:p>
    <w:p>
      <w:pPr>
        <w:pStyle w:val="ListParagraph"/>
        <w:numPr>
          <w:ilvl w:val="0"/>
          <w:numId w:val="2"/>
        </w:numPr>
        <w:spacing w:after="60" w:line="276"/>
      </w:pPr>
      <w:r>
        <w:rPr>
          <w:b/>
          <w:bCs/>
        </w:rPr>
        <w:t xml:space="preserve">DMC, DC, ISI, BUI, FWI: </w:t>
      </w:r>
      <w:r>
        <w:t xml:space="preserve">all right-skewed (mean &gt; median), with many days at low values and long upper tails. DC and FWI show a pronounced spike near zero.</w:t>
      </w:r>
    </w:p>
    <w:p>
      <w:pPr>
        <w:pStyle w:val="ListParagraph"/>
        <w:numPr>
          <w:ilvl w:val="0"/>
          <w:numId w:val="2"/>
        </w:numPr>
        <w:spacing w:after="60" w:line="276"/>
      </w:pPr>
      <w:r>
        <w:rPr>
          <w:b/>
          <w:bCs/>
        </w:rPr>
        <w:t xml:space="preserve">Classes: </w:t>
      </w:r>
      <w:r>
        <w:t xml:space="preserve">two bars, about 106 non-fire (0) and 137 fire (1) days – a modest imbalance.</w:t>
      </w:r>
    </w:p>
    <w:p>
      <w:pPr>
        <w:pStyle w:val="ListParagraph"/>
        <w:numPr>
          <w:ilvl w:val="0"/>
          <w:numId w:val="2"/>
        </w:numPr>
        <w:spacing w:after="60" w:line="276"/>
      </w:pPr>
      <w:r>
        <w:rPr>
          <w:b/>
          <w:bCs/>
        </w:rPr>
        <w:t xml:space="preserve">region: </w:t>
      </w:r>
      <w:r>
        <w:t xml:space="preserve">almost perfectly balanced, about 122 rows for region 0 and 121 for region 1.</w:t>
      </w:r>
    </w:p>
    <w:p>
      <w:pPr>
        <w:pStyle w:val="Heading1"/>
      </w:pPr>
      <w:r>
        <w:t xml:space="preserve">6. Descriptive Statistics</w:t>
      </w:r>
    </w:p>
    <w:p>
      <w:pPr>
        <w:spacing w:after="120" w:line="276"/>
      </w:pPr>
      <w:r>
        <w:t xml:space="preserve">Summary statistics from df.describe() are shown below (all 243 observations per variable).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6"/>
        <w:gridCol w:w="760"/>
        <w:gridCol w:w="900"/>
        <w:gridCol w:w="900"/>
        <w:gridCol w:w="900"/>
        <w:gridCol w:w="1000"/>
        <w:gridCol w:w="1000"/>
        <w:gridCol w:w="1000"/>
        <w:gridCol w:w="1140"/>
      </w:tblGrid>
      <w:tr>
        <w:trPr>
          <w:tblHeader/>
        </w:trPr>
        <w:tc>
          <w:tcPr>
            <w:tcW w:type="dxa" w:w="14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left"/>
            </w:pPr>
            <w:r>
              <w:rPr>
                <w:b/>
                <w:bCs/>
                <w:color w:val="FFFFFF"/>
                <w:sz w:val="18"/>
                <w:szCs w:val="18"/>
              </w:rPr>
              <w:t xml:space="preserve">Variable</w:t>
            </w:r>
          </w:p>
        </w:tc>
        <w:tc>
          <w:tcPr>
            <w:tcW w:type="dxa" w:w="76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center"/>
            </w:pPr>
            <w:r>
              <w:rPr>
                <w:b/>
                <w:bCs/>
                <w:color w:val="FFFFFF"/>
                <w:sz w:val="18"/>
                <w:szCs w:val="18"/>
              </w:rPr>
              <w:t xml:space="preserve">Count</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center"/>
            </w:pPr>
            <w:r>
              <w:rPr>
                <w:b/>
                <w:bCs/>
                <w:color w:val="FFFFFF"/>
                <w:sz w:val="18"/>
                <w:szCs w:val="18"/>
              </w:rPr>
              <w:t xml:space="preserve">Mean</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center"/>
            </w:pPr>
            <w:r>
              <w:rPr>
                <w:b/>
                <w:bCs/>
                <w:color w:val="FFFFFF"/>
                <w:sz w:val="18"/>
                <w:szCs w:val="18"/>
              </w:rPr>
              <w:t xml:space="preserve">Std</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center"/>
            </w:pPr>
            <w:r>
              <w:rPr>
                <w:b/>
                <w:bCs/>
                <w:color w:val="FFFFFF"/>
                <w:sz w:val="18"/>
                <w:szCs w:val="18"/>
              </w:rPr>
              <w:t xml:space="preserve">Min</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center"/>
            </w:pPr>
            <w:r>
              <w:rPr>
                <w:b/>
                <w:bCs/>
                <w:color w:val="FFFFFF"/>
                <w:sz w:val="18"/>
                <w:szCs w:val="18"/>
              </w:rPr>
              <w:t xml:space="preserve">25%</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center"/>
            </w:pPr>
            <w:r>
              <w:rPr>
                <w:b/>
                <w:bCs/>
                <w:color w:val="FFFFFF"/>
                <w:sz w:val="18"/>
                <w:szCs w:val="18"/>
              </w:rPr>
              <w:t xml:space="preserve">50%</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center"/>
            </w:pPr>
            <w:r>
              <w:rPr>
                <w:b/>
                <w:bCs/>
                <w:color w:val="FFFFFF"/>
                <w:sz w:val="18"/>
                <w:szCs w:val="18"/>
              </w:rPr>
              <w:t xml:space="preserve">75%</w:t>
            </w:r>
          </w:p>
        </w:tc>
        <w:tc>
          <w:tcPr>
            <w:tcW w:type="dxa" w:w="114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center"/>
            </w:pPr>
            <w:r>
              <w:rPr>
                <w:b/>
                <w:bCs/>
                <w:color w:val="FFFFFF"/>
                <w:sz w:val="18"/>
                <w:szCs w:val="18"/>
              </w:rPr>
              <w:t xml:space="preserve">Max</w:t>
            </w:r>
          </w:p>
        </w:tc>
      </w:tr>
      <w:tr>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18"/>
                <w:szCs w:val="18"/>
              </w:rPr>
              <w:t xml:space="preserve">Temperature</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243</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32.15</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3.63</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22.0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30.0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32.0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35.0</w:t>
            </w:r>
          </w:p>
        </w:tc>
        <w:tc>
          <w:tcPr>
            <w:tcW w:type="dxa" w:w="11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42.0</w:t>
            </w:r>
          </w:p>
        </w:tc>
      </w:tr>
      <w:tr>
        <w:tc>
          <w:tcPr>
            <w:tcW w:type="dxa" w:w="1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18"/>
                <w:szCs w:val="18"/>
              </w:rPr>
              <w:t xml:space="preserve">RH</w:t>
            </w:r>
          </w:p>
        </w:tc>
        <w:tc>
          <w:tcPr>
            <w:tcW w:type="dxa" w:w="7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243</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62.04</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14.83</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21.0</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52.5</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63.0</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73.5</w:t>
            </w:r>
          </w:p>
        </w:tc>
        <w:tc>
          <w:tcPr>
            <w:tcW w:type="dxa" w:w="11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90.0</w:t>
            </w:r>
          </w:p>
        </w:tc>
      </w:tr>
      <w:tr>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18"/>
                <w:szCs w:val="18"/>
              </w:rPr>
              <w:t xml:space="preserve">Ws</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243</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15.49</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2.81</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6.0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14.0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15.0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17.0</w:t>
            </w:r>
          </w:p>
        </w:tc>
        <w:tc>
          <w:tcPr>
            <w:tcW w:type="dxa" w:w="11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29.0</w:t>
            </w:r>
          </w:p>
        </w:tc>
      </w:tr>
      <w:tr>
        <w:tc>
          <w:tcPr>
            <w:tcW w:type="dxa" w:w="1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18"/>
                <w:szCs w:val="18"/>
              </w:rPr>
              <w:t xml:space="preserve">Rain</w:t>
            </w:r>
          </w:p>
        </w:tc>
        <w:tc>
          <w:tcPr>
            <w:tcW w:type="dxa" w:w="7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243</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0.76</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2.00</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0.0</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0.0</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0.0</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0.5</w:t>
            </w:r>
          </w:p>
        </w:tc>
        <w:tc>
          <w:tcPr>
            <w:tcW w:type="dxa" w:w="11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16.8</w:t>
            </w:r>
          </w:p>
        </w:tc>
      </w:tr>
      <w:tr>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18"/>
                <w:szCs w:val="18"/>
              </w:rPr>
              <w:t xml:space="preserve">FFMC</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243</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77.84</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14.35</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28.6</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71.85</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83.3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88.3</w:t>
            </w:r>
          </w:p>
        </w:tc>
        <w:tc>
          <w:tcPr>
            <w:tcW w:type="dxa" w:w="11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96.0</w:t>
            </w:r>
          </w:p>
        </w:tc>
      </w:tr>
      <w:tr>
        <w:tc>
          <w:tcPr>
            <w:tcW w:type="dxa" w:w="1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18"/>
                <w:szCs w:val="18"/>
              </w:rPr>
              <w:t xml:space="preserve">DMC</w:t>
            </w:r>
          </w:p>
        </w:tc>
        <w:tc>
          <w:tcPr>
            <w:tcW w:type="dxa" w:w="7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243</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14.68</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12.39</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0.7</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5.8</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11.3</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20.8</w:t>
            </w:r>
          </w:p>
        </w:tc>
        <w:tc>
          <w:tcPr>
            <w:tcW w:type="dxa" w:w="11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65.9</w:t>
            </w:r>
          </w:p>
        </w:tc>
      </w:tr>
      <w:tr>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18"/>
                <w:szCs w:val="18"/>
              </w:rPr>
              <w:t xml:space="preserve">DC</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243</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49.43</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47.67</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6.9</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12.35</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33.1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69.1</w:t>
            </w:r>
          </w:p>
        </w:tc>
        <w:tc>
          <w:tcPr>
            <w:tcW w:type="dxa" w:w="11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220.4</w:t>
            </w:r>
          </w:p>
        </w:tc>
      </w:tr>
      <w:tr>
        <w:tc>
          <w:tcPr>
            <w:tcW w:type="dxa" w:w="1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18"/>
                <w:szCs w:val="18"/>
              </w:rPr>
              <w:t xml:space="preserve">ISI</w:t>
            </w:r>
          </w:p>
        </w:tc>
        <w:tc>
          <w:tcPr>
            <w:tcW w:type="dxa" w:w="7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243</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4.74</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4.15</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0.0</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1.4</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3.5</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7.25</w:t>
            </w:r>
          </w:p>
        </w:tc>
        <w:tc>
          <w:tcPr>
            <w:tcW w:type="dxa" w:w="11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19.0</w:t>
            </w:r>
          </w:p>
        </w:tc>
      </w:tr>
      <w:tr>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18"/>
                <w:szCs w:val="18"/>
              </w:rPr>
              <w:t xml:space="preserve">BUI</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243</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16.69</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14.23</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6.0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12.4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22.65</w:t>
            </w:r>
          </w:p>
        </w:tc>
        <w:tc>
          <w:tcPr>
            <w:tcW w:type="dxa" w:w="11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68.0</w:t>
            </w:r>
          </w:p>
        </w:tc>
      </w:tr>
      <w:tr>
        <w:tc>
          <w:tcPr>
            <w:tcW w:type="dxa" w:w="1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18"/>
                <w:szCs w:val="18"/>
              </w:rPr>
              <w:t xml:space="preserve">FWI</w:t>
            </w:r>
          </w:p>
        </w:tc>
        <w:tc>
          <w:tcPr>
            <w:tcW w:type="dxa" w:w="7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243</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7.04</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7.44</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0.0</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0.7</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4.2</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11.45</w:t>
            </w:r>
          </w:p>
        </w:tc>
        <w:tc>
          <w:tcPr>
            <w:tcW w:type="dxa" w:w="11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31.1</w:t>
            </w:r>
          </w:p>
        </w:tc>
      </w:tr>
      <w:tr>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18"/>
                <w:szCs w:val="18"/>
              </w:rPr>
              <w:t xml:space="preserve">Classes</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243</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0.56</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0.50</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1.0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1.0</w:t>
            </w:r>
          </w:p>
        </w:tc>
        <w:tc>
          <w:tcPr>
            <w:tcW w:type="dxa" w:w="11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18"/>
                <w:szCs w:val="18"/>
              </w:rPr>
              <w:t xml:space="preserve">1.0</w:t>
            </w:r>
          </w:p>
        </w:tc>
      </w:tr>
      <w:tr>
        <w:tc>
          <w:tcPr>
            <w:tcW w:type="dxa" w:w="1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18"/>
                <w:szCs w:val="18"/>
              </w:rPr>
              <w:t xml:space="preserve">region</w:t>
            </w:r>
          </w:p>
        </w:tc>
        <w:tc>
          <w:tcPr>
            <w:tcW w:type="dxa" w:w="7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243</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0.50</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0.50</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0.0</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0.0</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0.0</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1.0</w:t>
            </w:r>
          </w:p>
        </w:tc>
        <w:tc>
          <w:tcPr>
            <w:tcW w:type="dxa" w:w="11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18"/>
                <w:szCs w:val="18"/>
              </w:rPr>
              <w:t xml:space="preserve">1.0</w:t>
            </w:r>
          </w:p>
        </w:tc>
      </w:tr>
    </w:tbl>
    <w:p>
      <w:pPr>
        <w:spacing w:after="200" w:before="60"/>
        <w:jc w:val="center"/>
      </w:pPr>
      <w:r>
        <w:rPr>
          <w:i/>
          <w:iCs/>
          <w:color w:val="595959"/>
          <w:sz w:val="18"/>
          <w:szCs w:val="18"/>
        </w:rPr>
        <w:t xml:space="preserve">Table 3. Descriptive statistics</w:t>
      </w:r>
    </w:p>
    <w:p>
      <w:pPr>
        <w:spacing w:after="120" w:line="276"/>
      </w:pPr>
      <w:r>
        <w:t xml:space="preserve">The gap between mean and median confirms the skewness seen in the histograms. For example, DC has a mean of 49.4 against a median of 33.1, and FWI has a mean of 7.0 against a median of 4.2. The standard deviation of DC (47.7) is nearly as large as its mean, which signals high variability. Because the variables are on very different scales (RH up to 90, ISI up to 19, Rain up to 16.8), scaling will be needed for scale-sensitive algorithms.</w:t>
      </w:r>
    </w:p>
    <w:p>
      <w:pPr>
        <w:pStyle w:val="Heading1"/>
      </w:pPr>
      <w:r>
        <w:t xml:space="preserve">7. Correlation Analysis</w:t>
      </w:r>
    </w:p>
    <w:p>
      <w:pPr>
        <w:keepNext/>
        <w:spacing w:after="120" w:line="276"/>
      </w:pPr>
      <w:r>
        <w:t xml:space="preserve">Pearson correlations were computed with df.corr() and visualised as an annotated heatmap.</w:t>
      </w:r>
    </w:p>
    <w:p>
      <w:pPr>
        <w:spacing w:after="0" w:before="120"/>
        <w:jc w:val="center"/>
      </w:pPr>
      <w:r>
        <w:drawing>
          <wp:inline distT="0" distB="0" distL="0" distR="0">
            <wp:extent cx="5715000" cy="3914775"/>
            <wp:effectExtent t="0" r="0" b="0" l="0"/>
            <wp:docPr id="1" name="c12_16.png" descr="c12_16.png" title="c12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914775"/>
                    </a:xfrm>
                    <a:prstGeom prst="rect">
                      <a:avLst/>
                    </a:prstGeom>
                  </pic:spPr>
                </pic:pic>
              </a:graphicData>
            </a:graphic>
          </wp:inline>
        </w:drawing>
      </w:r>
    </w:p>
    <w:p>
      <w:pPr>
        <w:spacing w:after="200" w:before="60"/>
        <w:jc w:val="center"/>
      </w:pPr>
      <w:r>
        <w:rPr>
          <w:i/>
          <w:iCs/>
          <w:color w:val="595959"/>
          <w:sz w:val="18"/>
          <w:szCs w:val="18"/>
        </w:rPr>
        <w:t xml:space="preserve">Figure 2. Correlation heatmap for the Algerian Forest Fires dataset</w:t>
      </w:r>
    </w:p>
    <w:p>
      <w:pPr>
        <w:pStyle w:val="Heading2"/>
      </w:pPr>
      <w:r>
        <w:t xml:space="preserve">7.1 Relationship with the target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left"/>
            </w:pPr>
            <w:r>
              <w:rPr>
                <w:b/>
                <w:bCs/>
                <w:color w:val="FFFFFF"/>
                <w:sz w:val="20"/>
                <w:szCs w:val="20"/>
              </w:rPr>
              <w:t xml:space="preserve">Feature</w:t>
            </w:r>
          </w:p>
        </w:tc>
        <w:tc>
          <w:tcPr>
            <w:tcW w:type="dxa" w:w="2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center"/>
            </w:pPr>
            <w:r>
              <w:rPr>
                <w:b/>
                <w:bCs/>
                <w:color w:val="FFFFFF"/>
                <w:sz w:val="20"/>
                <w:szCs w:val="20"/>
              </w:rPr>
              <w:t xml:space="preserve">Correlation with Classes</w:t>
            </w:r>
          </w:p>
        </w:tc>
        <w:tc>
          <w:tcPr>
            <w:tcW w:type="dxa" w:w="44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center"/>
            </w:pPr>
            <w:r>
              <w:rPr>
                <w:b/>
                <w:bCs/>
                <w:color w:val="FFFFFF"/>
                <w:sz w:val="20"/>
                <w:szCs w:val="20"/>
              </w:rPr>
              <w:t xml:space="preserve">Strength</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20"/>
                <w:szCs w:val="20"/>
              </w:rPr>
              <w:t xml:space="preserve">FFMC</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20"/>
                <w:szCs w:val="20"/>
              </w:rPr>
              <w:t xml:space="preserve">0.769</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Strong positive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20"/>
                <w:szCs w:val="20"/>
              </w:rPr>
              <w:t xml:space="preserve">ISI</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20"/>
                <w:szCs w:val="20"/>
              </w:rPr>
              <w:t xml:space="preserve">0.735</w:t>
            </w:r>
          </w:p>
        </w:tc>
        <w:tc>
          <w:tcPr>
            <w:tcW w:type="dxa" w:w="4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Strong positive</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20"/>
                <w:szCs w:val="20"/>
              </w:rPr>
              <w:t xml:space="preserve">FWI</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20"/>
                <w:szCs w:val="20"/>
              </w:rPr>
              <w:t xml:space="preserve">0.719</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Strong positive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20"/>
                <w:szCs w:val="20"/>
              </w:rPr>
              <w:t xml:space="preserve">BUI</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20"/>
                <w:szCs w:val="20"/>
              </w:rPr>
              <w:t xml:space="preserve">0.587</w:t>
            </w:r>
          </w:p>
        </w:tc>
        <w:tc>
          <w:tcPr>
            <w:tcW w:type="dxa" w:w="4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Moderate positive</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20"/>
                <w:szCs w:val="20"/>
              </w:rPr>
              <w:t xml:space="preserve">DMC</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20"/>
                <w:szCs w:val="20"/>
              </w:rPr>
              <w:t xml:space="preserve">0.586</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Moderate positive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20"/>
                <w:szCs w:val="20"/>
              </w:rPr>
              <w:t xml:space="preserve">Temperature</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20"/>
                <w:szCs w:val="20"/>
              </w:rPr>
              <w:t xml:space="preserve">0.516</w:t>
            </w:r>
          </w:p>
        </w:tc>
        <w:tc>
          <w:tcPr>
            <w:tcW w:type="dxa" w:w="4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Moderate positive</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20"/>
                <w:szCs w:val="20"/>
              </w:rPr>
              <w:t xml:space="preserve">DC</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20"/>
                <w:szCs w:val="20"/>
              </w:rPr>
              <w:t xml:space="preserve">0.511</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Moderate positive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20"/>
                <w:szCs w:val="20"/>
              </w:rPr>
              <w:t xml:space="preserve">RH</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20"/>
                <w:szCs w:val="20"/>
              </w:rPr>
              <w:t xml:space="preserve">–0.432</w:t>
            </w:r>
          </w:p>
        </w:tc>
        <w:tc>
          <w:tcPr>
            <w:tcW w:type="dxa" w:w="4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Moderate negative</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20"/>
                <w:szCs w:val="20"/>
              </w:rPr>
              <w:t xml:space="preserve">Rain</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20"/>
                <w:szCs w:val="20"/>
              </w:rPr>
              <w:t xml:space="preserve">–0.379</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Weak–moderate negative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20"/>
                <w:szCs w:val="20"/>
              </w:rPr>
              <w:t xml:space="preserve">region</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20"/>
                <w:szCs w:val="20"/>
              </w:rPr>
              <w:t xml:space="preserve">0.162</w:t>
            </w:r>
          </w:p>
        </w:tc>
        <w:tc>
          <w:tcPr>
            <w:tcW w:type="dxa" w:w="4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Weak positive</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20"/>
                <w:szCs w:val="20"/>
              </w:rPr>
              <w:t xml:space="preserve">Ws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20"/>
                <w:szCs w:val="20"/>
              </w:rPr>
              <w:t xml:space="preserve">–0.070</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Negligible</w:t>
            </w:r>
          </w:p>
        </w:tc>
      </w:tr>
    </w:tbl>
    <w:p>
      <w:pPr>
        <w:spacing w:after="200" w:before="60"/>
        <w:jc w:val="center"/>
      </w:pPr>
      <w:r>
        <w:rPr>
          <w:i/>
          <w:iCs/>
          <w:color w:val="595959"/>
          <w:sz w:val="18"/>
          <w:szCs w:val="18"/>
        </w:rPr>
        <w:t xml:space="preserve">Table 4. Correlation of each feature with fire occurrence</w:t>
      </w:r>
    </w:p>
    <w:p>
      <w:pPr>
        <w:spacing w:after="120" w:line="276"/>
      </w:pPr>
      <w:r>
        <w:t xml:space="preserve">FFMC, ISI and FWI are the most informative variables. This is expected: FFMC measures how dry the fine surface fuels are, and ISI and FWI build on it to describe fire spread and intensity. Temperature is positively associated with fire, while humidity and rainfall are negatively associated, matching physical intuition. Wind speed is almost uncorrelated with fire occurrence in this data.</w:t>
      </w:r>
    </w:p>
    <w:p>
      <w:pPr>
        <w:pStyle w:val="Heading2"/>
      </w:pPr>
      <w:r>
        <w:t xml:space="preserve">7.2 Relationships between predictors</w:t>
      </w:r>
    </w:p>
    <w:p>
      <w:pPr>
        <w:spacing w:after="120" w:line="276"/>
      </w:pPr>
      <w:r>
        <w:t xml:space="preserve">Weather variables are linked to each other: Temperature and RH are strongly negatively correlated (–0.65), Temperature and FFMC are positively correlated (0.68), and RH and FFMC are negatively correlated (–0.64). More importantly, the FWI-system indices are highly inter-correlated because they are calculated from one another:</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tblGrid>
      <w:tr>
        <w:trPr>
          <w:tblHeader/>
        </w:trPr>
        <w:tc>
          <w:tcPr>
            <w:tcW w:type="dxa" w:w="4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left"/>
            </w:pPr>
            <w:r>
              <w:rPr>
                <w:b/>
                <w:bCs/>
                <w:color w:val="FFFFFF"/>
                <w:sz w:val="20"/>
                <w:szCs w:val="20"/>
              </w:rPr>
              <w:t xml:space="preserve">Feature pair</w:t>
            </w:r>
          </w:p>
        </w:tc>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center"/>
            </w:pPr>
            <w:r>
              <w:rPr>
                <w:b/>
                <w:bCs/>
                <w:color w:val="FFFFFF"/>
                <w:sz w:val="20"/>
                <w:szCs w:val="20"/>
              </w:rPr>
              <w:t xml:space="preserve">Correlation</w:t>
            </w:r>
          </w:p>
        </w:tc>
      </w:tr>
      <w:tr>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20"/>
                <w:szCs w:val="20"/>
              </w:rPr>
              <w:t xml:space="preserve">DMC – BUI</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20"/>
                <w:szCs w:val="20"/>
              </w:rPr>
              <w:t xml:space="preserve">0.982</w:t>
            </w:r>
          </w:p>
        </w:tc>
      </w:tr>
      <w:tr>
        <w:tc>
          <w:tcPr>
            <w:tcW w:type="dxa" w:w="4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20"/>
                <w:szCs w:val="20"/>
              </w:rPr>
              <w:t xml:space="preserve">DC – BUI</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20"/>
                <w:szCs w:val="20"/>
              </w:rPr>
              <w:t xml:space="preserve">0.942</w:t>
            </w:r>
          </w:p>
        </w:tc>
      </w:tr>
      <w:tr>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20"/>
                <w:szCs w:val="20"/>
              </w:rPr>
              <w:t xml:space="preserve">ISI – FWI</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20"/>
                <w:szCs w:val="20"/>
              </w:rPr>
              <w:t xml:space="preserve">0.923</w:t>
            </w:r>
          </w:p>
        </w:tc>
      </w:tr>
      <w:tr>
        <w:tc>
          <w:tcPr>
            <w:tcW w:type="dxa" w:w="4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20"/>
                <w:szCs w:val="20"/>
              </w:rPr>
              <w:t xml:space="preserve">DMC – DC</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20"/>
                <w:szCs w:val="20"/>
              </w:rPr>
              <w:t xml:space="preserve">0.876</w:t>
            </w:r>
          </w:p>
        </w:tc>
      </w:tr>
      <w:tr>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20"/>
                <w:szCs w:val="20"/>
              </w:rPr>
              <w:t xml:space="preserve">DMC – FWI</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20"/>
                <w:szCs w:val="20"/>
              </w:rPr>
              <w:t xml:space="preserve">0.876</w:t>
            </w:r>
          </w:p>
        </w:tc>
      </w:tr>
      <w:tr>
        <w:tc>
          <w:tcPr>
            <w:tcW w:type="dxa" w:w="4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20"/>
                <w:szCs w:val="20"/>
              </w:rPr>
              <w:t xml:space="preserve">BUI – FWI</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20"/>
                <w:szCs w:val="20"/>
              </w:rPr>
              <w:t xml:space="preserve">0.858</w:t>
            </w:r>
          </w:p>
        </w:tc>
      </w:tr>
      <w:tr>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bCs/>
                <w:sz w:val="20"/>
                <w:szCs w:val="20"/>
              </w:rPr>
              <w:t xml:space="preserve">FFMC – ISI</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center"/>
            </w:pPr>
            <w:r>
              <w:rPr>
                <w:b w:val="false"/>
                <w:bCs w:val="false"/>
                <w:sz w:val="20"/>
                <w:szCs w:val="20"/>
              </w:rPr>
              <w:t xml:space="preserve">0.740</w:t>
            </w:r>
          </w:p>
        </w:tc>
      </w:tr>
      <w:tr>
        <w:tc>
          <w:tcPr>
            <w:tcW w:type="dxa" w:w="4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bCs/>
                <w:sz w:val="20"/>
                <w:szCs w:val="20"/>
              </w:rPr>
              <w:t xml:space="preserve">DC – FWI</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center"/>
            </w:pPr>
            <w:r>
              <w:rPr>
                <w:b w:val="false"/>
                <w:bCs w:val="false"/>
                <w:sz w:val="20"/>
                <w:szCs w:val="20"/>
              </w:rPr>
              <w:t xml:space="preserve">0.740</w:t>
            </w:r>
          </w:p>
        </w:tc>
      </w:tr>
    </w:tbl>
    <w:p>
      <w:pPr>
        <w:spacing w:after="200" w:before="60"/>
        <w:jc w:val="center"/>
      </w:pPr>
      <w:r>
        <w:rPr>
          <w:i/>
          <w:iCs/>
          <w:color w:val="595959"/>
          <w:sz w:val="18"/>
          <w:szCs w:val="18"/>
        </w:rPr>
        <w:t xml:space="preserve">Table 5. Strongest pairwise correlations among predictors</w:t>
      </w:r>
    </w:p>
    <w:p>
      <w:pPr>
        <w:pBdr>
          <w:left w:val="single" w:color="1F4E79" w:sz="24" w:space="10"/>
        </w:pBdr>
        <w:shd w:fill="EAF1F8" w:val="clear"/>
        <w:spacing w:after="200" w:before="120" w:line="276"/>
        <w:ind w:left="200"/>
      </w:pPr>
      <w:r>
        <w:rPr>
          <w:b/>
          <w:bCs/>
          <w:color w:val="1F4E79"/>
        </w:rPr>
        <w:t xml:space="preserve">Implication. </w:t>
      </w:r>
      <w:r>
        <w:t xml:space="preserve">DMC, DC and BUI carry largely overlapping information, as do ISI and FWI. Linear and logistic regression coefficients will be unstable if all are included together; consider dropping or combining some, or use regularisation or tree-based models.</w:t>
      </w:r>
    </w:p>
    <w:p>
      <w:pPr>
        <w:pStyle w:val="Heading1"/>
      </w:pPr>
      <w:r>
        <w:t xml:space="preserve">8. Key Findings</w:t>
      </w:r>
    </w:p>
    <w:p>
      <w:pPr>
        <w:pStyle w:val="ListParagraph"/>
        <w:numPr>
          <w:ilvl w:val="0"/>
          <w:numId w:val="2"/>
        </w:numPr>
        <w:spacing w:after="60" w:line="276"/>
      </w:pPr>
      <w:r>
        <w:t xml:space="preserve">The dataset is clean: no missing values and all values fall in plausible ranges. (Duplicate rows were not checked in the notebook and are worth verifying.)</w:t>
      </w:r>
    </w:p>
    <w:p>
      <w:pPr>
        <w:pStyle w:val="ListParagraph"/>
        <w:numPr>
          <w:ilvl w:val="0"/>
          <w:numId w:val="2"/>
        </w:numPr>
        <w:spacing w:after="60" w:line="276"/>
      </w:pPr>
      <w:r>
        <w:t xml:space="preserve">Fire days make up 56% of records, so classes are only mildly imbalanced; accuracy alone is acceptable but precision, recall and F1 should also be reported.</w:t>
      </w:r>
    </w:p>
    <w:p>
      <w:pPr>
        <w:pStyle w:val="ListParagraph"/>
        <w:numPr>
          <w:ilvl w:val="0"/>
          <w:numId w:val="2"/>
        </w:numPr>
        <w:spacing w:after="60" w:line="276"/>
      </w:pPr>
      <w:r>
        <w:t xml:space="preserve">FFMC, ISI and FWI are the strongest univariate indicators of fire; Ws and region are weak.</w:t>
      </w:r>
    </w:p>
    <w:p>
      <w:pPr>
        <w:pStyle w:val="ListParagraph"/>
        <w:numPr>
          <w:ilvl w:val="0"/>
          <w:numId w:val="2"/>
        </w:numPr>
        <w:spacing w:after="60" w:line="276"/>
      </w:pPr>
      <w:r>
        <w:t xml:space="preserve">Many features are skewed with legitimate extreme values rather than erroneous outliers.</w:t>
      </w:r>
    </w:p>
    <w:p>
      <w:pPr>
        <w:pStyle w:val="ListParagraph"/>
        <w:numPr>
          <w:ilvl w:val="0"/>
          <w:numId w:val="2"/>
        </w:numPr>
        <w:spacing w:after="60" w:line="276"/>
      </w:pPr>
      <w:r>
        <w:t xml:space="preserve">Strong multicollinearity exists within the FWI-system indices.</w:t>
      </w:r>
    </w:p>
    <w:p>
      <w:pPr>
        <w:pStyle w:val="Heading1"/>
      </w:pPr>
      <w:r>
        <w:t xml:space="preserve">9. Recommendations for Next Steps</w:t>
      </w:r>
    </w:p>
    <w:p>
      <w:pPr>
        <w:pStyle w:val="ListParagraph"/>
        <w:numPr>
          <w:ilvl w:val="0"/>
          <w:numId w:val="2"/>
        </w:numPr>
        <w:spacing w:after="60" w:line="276"/>
      </w:pPr>
      <w:r>
        <w:rPr>
          <w:b/>
          <w:bCs/>
        </w:rPr>
        <w:t xml:space="preserve">Cast types: </w:t>
      </w:r>
      <w:r>
        <w:t xml:space="preserve">convert region and Classes to integer or category dtype.</w:t>
      </w:r>
    </w:p>
    <w:p>
      <w:pPr>
        <w:pStyle w:val="ListParagraph"/>
        <w:numPr>
          <w:ilvl w:val="0"/>
          <w:numId w:val="2"/>
        </w:numPr>
        <w:spacing w:after="60" w:line="276"/>
      </w:pPr>
      <w:r>
        <w:rPr>
          <w:b/>
          <w:bCs/>
        </w:rPr>
        <w:t xml:space="preserve">Handle skew: </w:t>
      </w:r>
      <w:r>
        <w:t xml:space="preserve">apply log1p or Box–Cox/Yeo–Johnson to Rain, DMC, DC, ISI, BUI and FWI if using linear or distance-based models.</w:t>
      </w:r>
    </w:p>
    <w:p>
      <w:pPr>
        <w:pStyle w:val="ListParagraph"/>
        <w:numPr>
          <w:ilvl w:val="0"/>
          <w:numId w:val="2"/>
        </w:numPr>
        <w:spacing w:after="60" w:line="276"/>
      </w:pPr>
      <w:r>
        <w:rPr>
          <w:b/>
          <w:bCs/>
        </w:rPr>
        <w:t xml:space="preserve">Scale features: </w:t>
      </w:r>
      <w:r>
        <w:t xml:space="preserve">use StandardScaler (or RobustScaler given the outliers) for algorithms such as logistic regression, SVM and KNN.</w:t>
      </w:r>
    </w:p>
    <w:p>
      <w:pPr>
        <w:pStyle w:val="ListParagraph"/>
        <w:numPr>
          <w:ilvl w:val="0"/>
          <w:numId w:val="2"/>
        </w:numPr>
        <w:spacing w:after="60" w:line="276"/>
      </w:pPr>
      <w:r>
        <w:rPr>
          <w:b/>
          <w:bCs/>
        </w:rPr>
        <w:t xml:space="preserve">Reduce redundancy: </w:t>
      </w:r>
      <w:r>
        <w:t xml:space="preserve">check variance inflation factors (VIF) and consider removing BUI or combining DMC/DC/BUI; use regularisation where appropriate.</w:t>
      </w:r>
    </w:p>
    <w:p>
      <w:pPr>
        <w:pStyle w:val="ListParagraph"/>
        <w:numPr>
          <w:ilvl w:val="0"/>
          <w:numId w:val="2"/>
        </w:numPr>
        <w:spacing w:after="60" w:line="276"/>
      </w:pPr>
      <w:r>
        <w:rPr>
          <w:b/>
          <w:bCs/>
        </w:rPr>
        <w:t xml:space="preserve">Beware of leakage-like dependence: </w:t>
      </w:r>
      <w:r>
        <w:t xml:space="preserve">FWI is derived from ISI and BUI, which in turn derive from the weather and moisture codes. Decide deliberately which of these to feed a model, and compare results with and without FWI.</w:t>
      </w:r>
    </w:p>
    <w:p>
      <w:pPr>
        <w:pStyle w:val="ListParagraph"/>
        <w:numPr>
          <w:ilvl w:val="0"/>
          <w:numId w:val="2"/>
        </w:numPr>
        <w:spacing w:after="60" w:line="276"/>
      </w:pPr>
      <w:r>
        <w:rPr>
          <w:b/>
          <w:bCs/>
        </w:rPr>
        <w:t xml:space="preserve">Use stratified splits: </w:t>
      </w:r>
      <w:r>
        <w:t xml:space="preserve">apply stratified train/test splitting and cross-validation on Classes. Because the data is a single time series from one season, also consider a time-aware split to avoid optimistic estimates.</w:t>
      </w:r>
    </w:p>
    <w:p>
      <w:pPr>
        <w:pStyle w:val="ListParagraph"/>
        <w:numPr>
          <w:ilvl w:val="0"/>
          <w:numId w:val="2"/>
        </w:numPr>
        <w:spacing w:after="60" w:line="276"/>
      </w:pPr>
      <w:r>
        <w:rPr>
          <w:b/>
          <w:bCs/>
        </w:rPr>
        <w:t xml:space="preserve">Explore further: </w:t>
      </w:r>
      <w:r>
        <w:t xml:space="preserve">compare feature distributions for fire vs. non-fire days (grouped boxplots or violin plots), and examine differences between the two regions. Note that the date fields were dropped, so month-level seasonality is not captured in the current analysis.</w:t>
      </w:r>
    </w:p>
    <w:p>
      <w:r>
        <w:br w:type="page"/>
      </w:r>
    </w:p>
    <w:p>
      <w:pPr>
        <w:pStyle w:val="Heading1"/>
      </w:pPr>
      <w:r>
        <w:t xml:space="preserve">Appendix A. Boxplots of Continuous Variables</w:t>
      </w:r>
    </w:p>
    <w:p>
      <w:pPr>
        <w:spacing w:after="120" w:line="276"/>
      </w:pPr>
      <w:r>
        <w:t xml:space="preserve">Boxplots generated in the notebook for each continuous variable. The orange line is the median, the box spans the interquartile range, and circles mark points beyond 1.5 × IQR.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0" w:before="120"/>
              <w:jc w:val="center"/>
            </w:pPr>
            <w:r>
              <w:drawing>
                <wp:inline distT="0" distB="0" distL="0" distR="0">
                  <wp:extent cx="2714625" cy="1504950"/>
                  <wp:effectExtent t="0" r="0" b="0" l="0"/>
                  <wp:docPr id="1" name="c7_3.png" descr="c7_3.png" title="c7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14625" cy="1504950"/>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spacing w:after="0" w:before="120"/>
              <w:jc w:val="center"/>
            </w:pPr>
            <w:r>
              <w:drawing>
                <wp:inline distT="0" distB="0" distL="0" distR="0">
                  <wp:extent cx="2714625" cy="1504950"/>
                  <wp:effectExtent t="0" r="0" b="0" l="0"/>
                  <wp:docPr id="1" name="c7_4.png" descr="c7_4.png" title="c7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14625" cy="1504950"/>
                          </a:xfrm>
                          <a:prstGeom prst="rect">
                            <a:avLst/>
                          </a:prstGeom>
                        </pic:spPr>
                      </pic:pic>
                    </a:graphicData>
                  </a:graphic>
                </wp:inline>
              </w:drawing>
            </w:r>
          </w:p>
        </w:tc>
      </w:tr>
      <w:tr>
        <w:tc>
          <w:tcPr>
            <w:tcW w:type="dxa" w:w="4513"/>
            <w:tcBorders>
              <w:top w:val="none" w:color="FFFFFF" w:sz="0"/>
              <w:left w:val="none" w:color="FFFFFF" w:sz="0"/>
              <w:bottom w:val="none" w:color="FFFFFF" w:sz="0"/>
              <w:right w:val="none" w:color="FFFFFF" w:sz="0"/>
            </w:tcBorders>
          </w:tcPr>
          <w:p>
            <w:pPr>
              <w:spacing w:after="0" w:before="120"/>
              <w:jc w:val="center"/>
            </w:pPr>
            <w:r>
              <w:drawing>
                <wp:inline distT="0" distB="0" distL="0" distR="0">
                  <wp:extent cx="2714625" cy="1504950"/>
                  <wp:effectExtent t="0" r="0" b="0" l="0"/>
                  <wp:docPr id="1" name="c7_5.png" descr="c7_5.png" title="c7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14625" cy="1504950"/>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spacing w:after="0" w:before="120"/>
              <w:jc w:val="center"/>
            </w:pPr>
            <w:r>
              <w:drawing>
                <wp:inline distT="0" distB="0" distL="0" distR="0">
                  <wp:extent cx="2714625" cy="1466850"/>
                  <wp:effectExtent t="0" r="0" b="0" l="0"/>
                  <wp:docPr id="1" name="c7_6.png" descr="c7_6.png" title="c7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14625" cy="1466850"/>
                          </a:xfrm>
                          <a:prstGeom prst="rect">
                            <a:avLst/>
                          </a:prstGeom>
                        </pic:spPr>
                      </pic:pic>
                    </a:graphicData>
                  </a:graphic>
                </wp:inline>
              </w:drawing>
            </w:r>
          </w:p>
        </w:tc>
      </w:tr>
      <w:tr>
        <w:tc>
          <w:tcPr>
            <w:tcW w:type="dxa" w:w="4513"/>
            <w:tcBorders>
              <w:top w:val="none" w:color="FFFFFF" w:sz="0"/>
              <w:left w:val="none" w:color="FFFFFF" w:sz="0"/>
              <w:bottom w:val="none" w:color="FFFFFF" w:sz="0"/>
              <w:right w:val="none" w:color="FFFFFF" w:sz="0"/>
            </w:tcBorders>
          </w:tcPr>
          <w:p>
            <w:pPr>
              <w:spacing w:after="0" w:before="120"/>
              <w:jc w:val="center"/>
            </w:pPr>
            <w:r>
              <w:drawing>
                <wp:inline distT="0" distB="0" distL="0" distR="0">
                  <wp:extent cx="2714625" cy="1504950"/>
                  <wp:effectExtent t="0" r="0" b="0" l="0"/>
                  <wp:docPr id="1" name="c7_7.png" descr="c7_7.png" title="c7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14625" cy="1504950"/>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spacing w:after="0" w:before="120"/>
              <w:jc w:val="center"/>
            </w:pPr>
            <w:r>
              <w:drawing>
                <wp:inline distT="0" distB="0" distL="0" distR="0">
                  <wp:extent cx="2714625" cy="1504950"/>
                  <wp:effectExtent t="0" r="0" b="0" l="0"/>
                  <wp:docPr id="1" name="c7_8.png" descr="c7_8.png" title="c7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14625" cy="1504950"/>
                          </a:xfrm>
                          <a:prstGeom prst="rect">
                            <a:avLst/>
                          </a:prstGeom>
                        </pic:spPr>
                      </pic:pic>
                    </a:graphicData>
                  </a:graphic>
                </wp:inline>
              </w:drawing>
            </w:r>
          </w:p>
        </w:tc>
      </w:tr>
      <w:tr>
        <w:tc>
          <w:tcPr>
            <w:tcW w:type="dxa" w:w="4513"/>
            <w:tcBorders>
              <w:top w:val="none" w:color="FFFFFF" w:sz="0"/>
              <w:left w:val="none" w:color="FFFFFF" w:sz="0"/>
              <w:bottom w:val="none" w:color="FFFFFF" w:sz="0"/>
              <w:right w:val="none" w:color="FFFFFF" w:sz="0"/>
            </w:tcBorders>
          </w:tcPr>
          <w:p>
            <w:pPr>
              <w:spacing w:after="0" w:before="120"/>
              <w:jc w:val="center"/>
            </w:pPr>
            <w:r>
              <w:drawing>
                <wp:inline distT="0" distB="0" distL="0" distR="0">
                  <wp:extent cx="2714625" cy="1476375"/>
                  <wp:effectExtent t="0" r="0" b="0" l="0"/>
                  <wp:docPr id="1" name="c7_9.png" descr="c7_9.png" title="c7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14625" cy="147637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spacing w:after="0" w:before="120"/>
              <w:jc w:val="center"/>
            </w:pPr>
            <w:r>
              <w:drawing>
                <wp:inline distT="0" distB="0" distL="0" distR="0">
                  <wp:extent cx="2714625" cy="1504950"/>
                  <wp:effectExtent t="0" r="0" b="0" l="0"/>
                  <wp:docPr id="1" name="c7_10.png" descr="c7_10.png" title="c7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14625" cy="1504950"/>
                          </a:xfrm>
                          <a:prstGeom prst="rect">
                            <a:avLst/>
                          </a:prstGeom>
                        </pic:spPr>
                      </pic:pic>
                    </a:graphicData>
                  </a:graphic>
                </wp:inline>
              </w:drawing>
            </w:r>
          </w:p>
        </w:tc>
      </w:tr>
      <w:tr>
        <w:tc>
          <w:tcPr>
            <w:tcW w:type="dxa" w:w="4513"/>
            <w:tcBorders>
              <w:top w:val="none" w:color="FFFFFF" w:sz="0"/>
              <w:left w:val="none" w:color="FFFFFF" w:sz="0"/>
              <w:bottom w:val="none" w:color="FFFFFF" w:sz="0"/>
              <w:right w:val="none" w:color="FFFFFF" w:sz="0"/>
            </w:tcBorders>
          </w:tcPr>
          <w:p>
            <w:pPr>
              <w:spacing w:after="0" w:before="120"/>
              <w:jc w:val="center"/>
            </w:pPr>
            <w:r>
              <w:drawing>
                <wp:inline distT="0" distB="0" distL="0" distR="0">
                  <wp:extent cx="2714625" cy="1504950"/>
                  <wp:effectExtent t="0" r="0" b="0" l="0"/>
                  <wp:docPr id="1" name="c7_11.png" descr="c7_11.png" title="c7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14625" cy="1504950"/>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spacing w:after="0" w:before="120"/>
              <w:jc w:val="center"/>
            </w:pPr>
            <w:r>
              <w:drawing>
                <wp:inline distT="0" distB="0" distL="0" distR="0">
                  <wp:extent cx="2714625" cy="1504950"/>
                  <wp:effectExtent t="0" r="0" b="0" l="0"/>
                  <wp:docPr id="1" name="c7_12.png" descr="c7_12.png" title="c7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14625" cy="1504950"/>
                          </a:xfrm>
                          <a:prstGeom prst="rect">
                            <a:avLst/>
                          </a:prstGeom>
                        </pic:spPr>
                      </pic:pic>
                    </a:graphicData>
                  </a:graphic>
                </wp:inline>
              </w:drawing>
            </w:r>
          </w:p>
        </w:tc>
      </w:tr>
    </w:tbl>
    <w:p>
      <w:pPr>
        <w:spacing w:after="200" w:before="60"/>
        <w:jc w:val="center"/>
      </w:pPr>
      <w:r>
        <w:rPr>
          <w:i/>
          <w:iCs/>
          <w:color w:val="595959"/>
          <w:sz w:val="18"/>
          <w:szCs w:val="18"/>
        </w:rPr>
        <w:t xml:space="preserve">Figure A1. Boxplots: Temperature, RH, Ws, Rain, FFMC, DMC, DC, ISI, BUI, FWI</w:t>
      </w:r>
    </w:p>
    <w:p>
      <w:pPr>
        <w:spacing w:after="120" w:line="276"/>
      </w:pPr>
      <w:r>
        <w:rPr>
          <w:i/>
          <w:iCs/>
          <w:color w:val="595959"/>
        </w:rPr>
        <w:t xml:space="preserve">The notebook also produced boxplots for day, month, year, Classes and region. These are omitted here because they are date identifiers or binary variables, for which a boxplot is not informative.</w:t>
      </w:r>
    </w:p>
    <w:p>
      <w:pPr>
        <w:pStyle w:val="Heading1"/>
      </w:pPr>
      <w:r>
        <w:t xml:space="preserve">Appendix B. Notebook Workflow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726"/>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left"/>
            </w:pPr>
            <w:r>
              <w:rPr>
                <w:b/>
                <w:bCs/>
                <w:color w:val="FFFFFF"/>
                <w:sz w:val="20"/>
                <w:szCs w:val="20"/>
              </w:rPr>
              <w:t xml:space="preserve">Step</w:t>
            </w:r>
          </w:p>
        </w:tc>
        <w:tc>
          <w:tcPr>
            <w:tcW w:type="dxa" w:w="3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center"/>
            </w:pPr>
            <w:r>
              <w:rPr>
                <w:b/>
                <w:bCs/>
                <w:color w:val="FFFFFF"/>
                <w:sz w:val="20"/>
                <w:szCs w:val="20"/>
              </w:rPr>
              <w:t xml:space="preserve">Operation</w:t>
            </w:r>
          </w:p>
        </w:tc>
        <w:tc>
          <w:tcPr>
            <w:tcW w:type="dxa" w:w="47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jc w:val="center"/>
            </w:pPr>
            <w:r>
              <w:rPr>
                <w:b/>
                <w:bCs/>
                <w:color w:val="FFFFFF"/>
                <w:sz w:val="20"/>
                <w:szCs w:val="20"/>
              </w:rPr>
              <w:t xml:space="preserve">Purpose</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1</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Import pandas, matplotlib, seaborn, numpy</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Set up analysis tools</w:t>
            </w:r>
          </w:p>
        </w:tc>
      </w:tr>
      <w:t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2</w:t>
            </w:r>
          </w:p>
        </w:tc>
        <w:tc>
          <w:tcPr>
            <w:tcW w:type="dxa" w:w="3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pd.read_csv("Dataset/clean_dataset.csv")</w:t>
            </w:r>
          </w:p>
        </w:tc>
        <w:tc>
          <w:tcPr>
            <w:tcW w:type="dxa" w:w="4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Load the cleaned dataset</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head(), dtypes, columns</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Inspect structure and types</w:t>
            </w:r>
          </w:p>
        </w:tc>
      </w:tr>
      <w:t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4</w:t>
            </w:r>
          </w:p>
        </w:tc>
        <w:tc>
          <w:tcPr>
            <w:tcW w:type="dxa" w:w="3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min() / max() of 14 columns</w:t>
            </w:r>
          </w:p>
        </w:tc>
        <w:tc>
          <w:tcPr>
            <w:tcW w:type="dxa" w:w="4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Check value ranges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5</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isnull().sum()</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Check for missing values</w:t>
            </w:r>
          </w:p>
        </w:tc>
      </w:tr>
      <w:t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6</w:t>
            </w:r>
          </w:p>
        </w:tc>
        <w:tc>
          <w:tcPr>
            <w:tcW w:type="dxa" w:w="3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plt.boxplot for each column</w:t>
            </w:r>
          </w:p>
        </w:tc>
        <w:tc>
          <w:tcPr>
            <w:tcW w:type="dxa" w:w="4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Visual outlier detection</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7</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drop day, month, year</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Remove date identifiers</w:t>
            </w:r>
          </w:p>
        </w:tc>
      </w:tr>
      <w:t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8</w:t>
            </w:r>
          </w:p>
        </w:tc>
        <w:tc>
          <w:tcPr>
            <w:tcW w:type="dxa" w:w="3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df.hist(bins=50)</w:t>
            </w:r>
          </w:p>
        </w:tc>
        <w:tc>
          <w:tcPr>
            <w:tcW w:type="dxa" w:w="4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Examine distributions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9</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df.describe()</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jc w:val="left"/>
            </w:pPr>
            <w:r>
              <w:rPr>
                <w:b w:val="false"/>
                <w:bCs w:val="false"/>
                <w:sz w:val="20"/>
                <w:szCs w:val="20"/>
              </w:rPr>
              <w:t xml:space="preserve">Summary statistics</w:t>
            </w:r>
          </w:p>
        </w:tc>
      </w:tr>
      <w:t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10</w:t>
            </w:r>
          </w:p>
        </w:tc>
        <w:tc>
          <w:tcPr>
            <w:tcW w:type="dxa" w:w="3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df.corr() and sns.heatmap</w:t>
            </w:r>
          </w:p>
        </w:tc>
        <w:tc>
          <w:tcPr>
            <w:tcW w:type="dxa" w:w="4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jc w:val="left"/>
            </w:pPr>
            <w:r>
              <w:rPr>
                <w:b w:val="false"/>
                <w:bCs w:val="false"/>
                <w:sz w:val="20"/>
                <w:szCs w:val="20"/>
              </w:rPr>
              <w:t xml:space="preserve">Correlation analysis</w:t>
            </w:r>
          </w:p>
        </w:tc>
      </w:tr>
    </w:tbl>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EDA Report – Algerian Forest Fires Dataset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6be0d04f0d0596c96210f1c76fd7690856fae3.png"/><Relationship Id="rId10" Type="http://schemas.openxmlformats.org/officeDocument/2006/relationships/image" Target="media/9bb745001bb970342056683faf49f8faf087b5f5.png"/><Relationship Id="rId11" Type="http://schemas.openxmlformats.org/officeDocument/2006/relationships/image" Target="media/565dc5b6b31ae8f0dc8eb668169a45f263011667.png"/><Relationship Id="rId12" Type="http://schemas.openxmlformats.org/officeDocument/2006/relationships/image" Target="media/339e2dc3b78959f9e108e11c90c1d0d49115491f.png"/><Relationship Id="rId13" Type="http://schemas.openxmlformats.org/officeDocument/2006/relationships/image" Target="media/5da58dc8fba4e206f09e7bfe6a7c31b58450037e.png"/><Relationship Id="rId14" Type="http://schemas.openxmlformats.org/officeDocument/2006/relationships/image" Target="media/ec09428ec091814af0465a09429ae414382e87d6.png"/><Relationship Id="rId15" Type="http://schemas.openxmlformats.org/officeDocument/2006/relationships/image" Target="media/caeca3c4022ea16129b4b44aae2e4ac4af7a4366.png"/><Relationship Id="rId16" Type="http://schemas.openxmlformats.org/officeDocument/2006/relationships/image" Target="media/ebc6f0bd2dbb9ad19489f509e8ea09d7855083b5.png"/><Relationship Id="rId17" Type="http://schemas.openxmlformats.org/officeDocument/2006/relationships/image" Target="media/865a5dfca914c2d3bfdf737d9f74ad235880e5bc.png"/><Relationship Id="rId18" Type="http://schemas.openxmlformats.org/officeDocument/2006/relationships/image" Target="media/0c4b1f5f8b1ca1439f634a3687e42a8902b3cfb8.png"/><Relationship Id="rId19" Type="http://schemas.openxmlformats.org/officeDocument/2006/relationships/image" Target="media/36ccade9a4d181de60f52b506ca5ac3dd9f62d73.png"/><Relationship Id="rId20" Type="http://schemas.openxmlformats.org/officeDocument/2006/relationships/image" Target="media/9c0427532e2e8a523b7d763b44f73f9aad5ae83c.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EDA Report - Algerian Forest Fires Dataset</dc:title>
  <dc:creator>Claude</dc:creator>
  <cp:lastModifiedBy>Un-named</cp:lastModifiedBy>
  <cp:revision>1</cp:revision>
  <dcterms:created xsi:type="dcterms:W3CDTF">2026-10-21T11:01:19.776Z</dcterms:created>
  <dcterms:modified xsi:type="dcterms:W3CDTF">2026-10-21T11:01:19.776Z</dcterms:modified>
</cp:coreProperties>
</file>

<file path=docProps/custom.xml><?xml version="1.0" encoding="utf-8"?>
<Properties xmlns="http://schemas.openxmlformats.org/officeDocument/2006/custom-properties" xmlns:vt="http://schemas.openxmlformats.org/officeDocument/2006/docPropsVTypes"/>
</file>