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Response to Reviewers</w:t>
      </w:r>
    </w:p>
    <w:p>
      <w:pPr>
        <w:jc w:val="center"/>
      </w:pPr>
      <w:r>
        <w:rPr>
          <w:i/>
          <w:sz w:val="22"/>
        </w:rPr>
        <w:t>EduFusionFormer - A Dynamic Hierarchical Transformer Framework for Multimodal Educational Administrative Behavior Analysis</w:t>
      </w:r>
    </w:p>
    <w:p>
      <w:r>
        <w:t>We thank both reviewers for a careful and genuinely useful reading. The comments identified a number of internal inconsistencies and several claims that exceeded the evidence we present, and addressing them has materially improved the manuscript. Every point is answered below, with the location of the corresponding change in the revised manuscript.</w:t>
      </w:r>
    </w:p>
    <w:p>
      <w:r>
        <w:t>Two changes are structural and affect how the rest of this letter should be read. First, the manuscript is now framed explicitly as a methods-and-benchmark contribution: all results are stated as recovery of a simulated labeling structure, and the requirement for validation on real institutional data is stated in the Abstract, Introduction, Section 4.1, the new Section 4.9 and the Conclusion. Second, a new Section 4.9 (Limitations) collects the experiments we did not perform, so that the scope of our claims is visible in one place rather than distributed through the text.</w:t>
      </w:r>
    </w:p>
    <w:p>
      <w:pPr>
        <w:spacing w:before="240"/>
      </w:pPr>
      <w:r>
        <w:rPr>
          <w:b/>
          <w:sz w:val="23"/>
        </w:rPr>
        <w:t>Summary of the principal revisions</w:t>
      </w:r>
    </w:p>
    <w:p>
      <w:pPr>
        <w:pStyle w:val="ListBullet"/>
        <w:spacing w:after="40"/>
      </w:pPr>
      <w:r>
        <w:t>Research questions RQ1-RQ3 with testable hypotheses added to Section 1 and answered in Sections 4.6-4.8 and the Conclusion.</w:t>
      </w:r>
    </w:p>
    <w:p>
      <w:pPr>
        <w:pStyle w:val="ListBullet"/>
        <w:spacing w:after="40"/>
      </w:pPr>
      <w:r>
        <w:t>Training configuration reconciled: Table 7 now reports a 50-epoch maximum with early-stopping patience 10, and Section 3.5, Table 8 and the Figure 3 caption state that the best checkpoint occurred at epoch 34 and training stopped at epoch 44.</w:t>
      </w:r>
    </w:p>
    <w:p>
      <w:pPr>
        <w:pStyle w:val="ListBullet"/>
        <w:spacing w:after="40"/>
      </w:pPr>
      <w:r>
        <w:t>The strongest baseline is corrected to BERT + MLP late fusion, and the improvement is restated as 5.28 percentage points of macro-F1.</w:t>
      </w:r>
    </w:p>
    <w:p>
      <w:pPr>
        <w:pStyle w:val="ListBullet"/>
        <w:spacing w:after="40"/>
      </w:pPr>
      <w:r>
        <w:t>The ablation is described as cumulative, the BERT + MLP reference row is added to Table 10, and the two unsupported interpretations of the ablation are replaced by statements that match the reported values.</w:t>
      </w:r>
    </w:p>
    <w:p>
      <w:pPr>
        <w:pStyle w:val="ListBullet"/>
        <w:spacing w:after="40"/>
      </w:pPr>
      <w:r>
        <w:t>Claims regarding modality-weight validation and the analysis of attention and gating outputs are withdrawn and recorded as future work.</w:t>
      </w:r>
    </w:p>
    <w:p>
      <w:pPr>
        <w:pStyle w:val="ListBullet"/>
        <w:spacing w:after="40"/>
      </w:pPr>
      <w:r>
        <w:t>The scope of the Temporal Behavioral Memory Encoder is stated precisely, and claims about learning individual behavioral trajectories are removed.</w:t>
      </w:r>
    </w:p>
    <w:p>
      <w:pPr>
        <w:pStyle w:val="ListBullet"/>
        <w:spacing w:after="40"/>
      </w:pPr>
      <w:r>
        <w:t>The SHAP procedure is documented in full, including the treatment of text and month inputs and the effect of correlated survey features.</w:t>
      </w:r>
    </w:p>
    <w:p>
      <w:pPr>
        <w:pStyle w:val="ListBullet"/>
        <w:spacing w:after="40"/>
      </w:pPr>
      <w:r>
        <w:t>Reproducibility details are added: exact split sizes, frozen and fine-tuned BERT layers, metadata encoding, text aggregation and truncation, and the random seed.</w:t>
      </w:r>
    </w:p>
    <w:p>
      <w:pPr>
        <w:pStyle w:val="ListBullet"/>
        <w:spacing w:after="40"/>
      </w:pPr>
      <w:r>
        <w:t>The classification head is renamed to reflect that the auxiliary outputs and the consistency module receive no dedicated supervision.</w:t>
      </w:r>
    </w:p>
    <w:p>
      <w:pPr>
        <w:pStyle w:val="ListBullet"/>
        <w:spacing w:after="40"/>
      </w:pPr>
      <w:r>
        <w:t>Three internal numerical inconsistencies not raised by the reviewers were also found and corrected; these are listed at the end of this letter.</w:t>
      </w:r>
    </w:p>
    <w:p>
      <w:r>
        <w:t>One comment (Reviewer 2, point 14) concerns an alleged misalignment between in-text citations and the reference list. We re-verified every citation and were unable to reproduce the problem. We set out the verification in full under that point and would of course correct any specific pairing the reviewer can identify.</w:t>
      </w:r>
    </w:p>
    <w:p>
      <w:pPr>
        <w:spacing w:before="320"/>
      </w:pPr>
      <w:r>
        <w:rPr>
          <w:b/>
          <w:color w:val="1F3B73"/>
          <w:sz w:val="26"/>
        </w:rPr>
        <w:t>Reviewer 1</w:t>
      </w:r>
    </w:p>
    <w:p>
      <w:pPr>
        <w:ind w:left="360"/>
      </w:pPr>
      <w:r>
        <w:rPr>
          <w:b/>
          <w:i/>
        </w:rPr>
        <w:t xml:space="preserve">Comment. </w:t>
      </w:r>
      <w:r>
        <w:rPr>
          <w:i/>
        </w:rPr>
        <w:t>While the technical implementation appears competent and the authors are transparent about the simulated nature of their data, the manuscript suffers from a single but fatal flaw that renders the entire empirical contribution invalid for publication in its current form: all experimental results are obtained exclusively on synthetically generated data.</w:t>
      </w:r>
    </w:p>
    <w:p>
      <w:r>
        <w:rPr>
          <w:b/>
        </w:rPr>
        <w:t xml:space="preserve">Response. </w:t>
      </w:r>
      <w:r>
        <w:t>We accept this entirely. Synthetic data cannot establish real-world validity, and the previous framing invited exactly the misreading the reviewer describes. The manuscript is now presented as a methods and benchmark-protocol contribution rather than as an empirical finding about administrators.</w:t>
      </w:r>
    </w:p>
    <w:p>
      <w:r>
        <w:t>Specifically:</w:t>
      </w:r>
    </w:p>
    <w:p>
      <w:pPr>
        <w:pStyle w:val="ListBullet"/>
        <w:spacing w:after="40"/>
      </w:pPr>
      <w:r>
        <w:t>The Abstract now states that all experiments use a synthetic benchmark, that the results quantify recovery of a simulated labeling structure, and that validation on real institutional data is required before any applied use.</w:t>
      </w:r>
    </w:p>
    <w:p>
      <w:pPr>
        <w:pStyle w:val="ListBullet"/>
        <w:spacing w:after="40"/>
      </w:pPr>
      <w:r>
        <w:t>The Introduction closes with the same qualification, so that the framing is established before the contributions are listed.</w:t>
      </w:r>
    </w:p>
    <w:p>
      <w:pPr>
        <w:pStyle w:val="ListBullet"/>
        <w:spacing w:after="40"/>
      </w:pPr>
      <w:r>
        <w:t>Section 4.1 states that the benchmark is synthetic and that the metrics in Sections 4.3-4.7 measure recovery of the simulated structure rather than real administrative behavior.</w:t>
      </w:r>
    </w:p>
    <w:p>
      <w:pPr>
        <w:pStyle w:val="ListBullet"/>
        <w:spacing w:after="40"/>
      </w:pPr>
      <w:r>
        <w:t>A new subsection, 'Basis and limits of the simulation assumptions' in Section 3.1, identifies the generative parameters as design choices rather than empirical estimates.</w:t>
      </w:r>
    </w:p>
    <w:p>
      <w:pPr>
        <w:pStyle w:val="ListBullet"/>
        <w:spacing w:after="40"/>
      </w:pPr>
      <w:r>
        <w:t>The new Section 4.9 opens with a paragraph on synthetic evidence, noting that because the label is a deterministic function of a latent state that also drives the observed modalities, classification performance measures how well the model inverts our own generative process.</w:t>
      </w:r>
    </w:p>
    <w:p>
      <w:pPr>
        <w:pStyle w:val="ListBullet"/>
        <w:spacing w:after="40"/>
      </w:pPr>
      <w:r>
        <w:t>Section 4.9 closes with a paragraph on the risks of applied use in personnel decisions, listing the validation steps that would be prerequisites for any such use.</w:t>
      </w:r>
    </w:p>
    <w:p>
      <w:pPr>
        <w:pStyle w:val="ListBullet"/>
        <w:spacing w:after="40"/>
      </w:pPr>
      <w:r>
        <w:t>Outcome language has been revised throughout. In Sections 4.2-4.4 and the Conclusion, formulations such as 'proves', 'confirms the efficiency' and 'proved to be an efficient and interpretable approach' have been replaced by statements of what was observed under the stated assumptions.</w:t>
      </w:r>
    </w:p>
    <w:p>
      <w:pPr>
        <w:spacing w:before="320"/>
      </w:pPr>
      <w:r>
        <w:rPr>
          <w:b/>
          <w:color w:val="1F3B73"/>
          <w:sz w:val="26"/>
        </w:rPr>
        <w:t>Reviewer 2</w:t>
      </w:r>
    </w:p>
    <w:p>
      <w:pPr>
        <w:spacing w:before="240"/>
      </w:pPr>
      <w:r>
        <w:rPr>
          <w:b/>
          <w:sz w:val="23"/>
        </w:rPr>
        <w:t>1. Explicit research questions or testable hypotheses</w:t>
      </w:r>
    </w:p>
    <w:p>
      <w:pPr>
        <w:ind w:left="360"/>
      </w:pPr>
      <w:r>
        <w:rPr>
          <w:b/>
          <w:i/>
        </w:rPr>
        <w:t xml:space="preserve">Comment. </w:t>
      </w:r>
      <w:r>
        <w:rPr>
          <w:i/>
        </w:rPr>
        <w:t>Please formulate explicit research questions or testable methodological hypotheses. The introduction identifies a broad application gap, but it does not clearly specify which properties of the proposed framework are being tested or what evidence would demonstrate its advantages over existing approaches.</w:t>
      </w:r>
    </w:p>
    <w:p>
      <w:r>
        <w:rPr>
          <w:b/>
        </w:rPr>
        <w:t xml:space="preserve">Response. </w:t>
      </w:r>
      <w:r>
        <w:t>Three research questions, each with an associated hypothesis and a pointer to the section that addresses it, have been added at the end of Section 1, immediately before the contributions list:</w:t>
      </w:r>
    </w:p>
    <w:p>
      <w:pPr>
        <w:pStyle w:val="ListBullet"/>
        <w:spacing w:after="40"/>
      </w:pPr>
      <w:r>
        <w:t>RQ1 (addressed in Section 4.7): does hierarchical multimodal fusion outperform late-fusion and single-mechanism fusion approaches on this benchmark?</w:t>
      </w:r>
    </w:p>
    <w:p>
      <w:pPr>
        <w:pStyle w:val="ListBullet"/>
        <w:spacing w:after="40"/>
      </w:pPr>
      <w:r>
        <w:t>RQ2 (addressed in Section 4.6): does each proposed component contribute measurably to classification performance?</w:t>
      </w:r>
    </w:p>
    <w:p>
      <w:pPr>
        <w:pStyle w:val="ListBullet"/>
        <w:spacing w:after="40"/>
      </w:pPr>
      <w:r>
        <w:t>RQ3 (addressed in Section 4.8): which feature groups drive the predictions?</w:t>
      </w:r>
    </w:p>
    <w:p>
      <w:r>
        <w:t>H2 is deliberately stated as non-decreasing macro-F1 rather than as a strict increase for every component, because our own ablation does not support the stronger claim; this is discussed under point 7. Each research question is answered by name in the relevant results subsection and summarized in the Conclusion. A closing sentence notes that evidence for these hypotheses concerns the simulated labeling structure of Section 3.1 rather than real administrative behavior.</w:t>
      </w:r>
    </w:p>
    <w:p>
      <w:pPr>
        <w:spacing w:before="240"/>
      </w:pPr>
      <w:r>
        <w:rPr>
          <w:b/>
          <w:sz w:val="23"/>
        </w:rPr>
        <w:t>2. Reconciling the training configuration</w:t>
      </w:r>
    </w:p>
    <w:p>
      <w:pPr>
        <w:ind w:left="360"/>
      </w:pPr>
      <w:r>
        <w:rPr>
          <w:b/>
          <w:i/>
        </w:rPr>
        <w:t xml:space="preserve">Comment. </w:t>
      </w:r>
      <w:r>
        <w:rPr>
          <w:i/>
        </w:rPr>
        <w:t>Table 7 specifies a maximum of 30 epochs, whereas the text and Table 8 identify epoch 34 as the selected checkpoint, and Figure 3 displays training beyond 40 epochs. The manuscript should report the actual configuration used to produce the results.</w:t>
      </w:r>
    </w:p>
    <w:p>
      <w:r>
        <w:rPr>
          <w:b/>
        </w:rPr>
        <w:t xml:space="preserve">Response. </w:t>
      </w:r>
      <w:r>
        <w:t>The reviewer is right that the three statements were mutually inconsistent. The reported run used a maximum of 50 epochs with early-stopping patience of 10; the best validation macro-F1 occurred at epoch 34 and training terminated at epoch 44 after ten epochs without improvement. The configuration is now reported consistently in four places:</w:t>
      </w:r>
    </w:p>
    <w:p>
      <w:pPr>
        <w:pStyle w:val="ListBullet"/>
        <w:spacing w:after="40"/>
      </w:pPr>
      <w:r>
        <w:t>Table 7: 'Maximum Epochs' is 50 and 'Early Stopping Patience' is 10.</w:t>
      </w:r>
    </w:p>
    <w:p>
      <w:pPr>
        <w:pStyle w:val="ListBullet"/>
        <w:spacing w:after="40"/>
      </w:pPr>
      <w:r>
        <w:t>Section 3.5 states the patience of 10 epochs and adds a sentence giving the 50-epoch budget, the epoch-34 best checkpoint and the epoch-44 stopping point.</w:t>
      </w:r>
    </w:p>
    <w:p>
      <w:pPr>
        <w:pStyle w:val="ListBullet"/>
        <w:spacing w:after="40"/>
      </w:pPr>
      <w:r>
        <w:t>The Table 8 caption reads 'at the Best Checkpoint (Epoch 34 of a Maximum 50; Training Stopped at Epoch 44)'.</w:t>
      </w:r>
    </w:p>
    <w:p>
      <w:pPr>
        <w:pStyle w:val="ListBullet"/>
        <w:spacing w:after="40"/>
      </w:pPr>
      <w:r>
        <w:t>The Figure 3 caption states the budget, the best epoch and the stopping epoch, which accounts for the horizontal axis extending beyond epoch 40.</w:t>
      </w:r>
    </w:p>
    <w:p>
      <w:pPr>
        <w:spacing w:before="240"/>
      </w:pPr>
      <w:r>
        <w:rPr>
          <w:b/>
          <w:sz w:val="23"/>
        </w:rPr>
        <w:t>3. Reconciling performance values across the manuscript</w:t>
      </w:r>
    </w:p>
    <w:p>
      <w:pPr>
        <w:ind w:left="360"/>
      </w:pPr>
      <w:r>
        <w:rPr>
          <w:b/>
          <w:i/>
        </w:rPr>
        <w:t xml:space="preserve">Comment. </w:t>
      </w:r>
      <w:r>
        <w:rPr>
          <w:i/>
        </w:rPr>
        <w:t>Table 9 reports an accuracy of 0.9030 and macro-F1 of 0.9057, whereas Table 10 reports 0.8933 and 0.9017 for the full model. The conclusion also reports macro-F1 of 0.9017 alongside other metrics from the main test evaluation. If these values originate from different runs or experimental settings, those differences must be explicitly documented.</w:t>
      </w:r>
    </w:p>
    <w:p>
      <w:r>
        <w:rPr>
          <w:b/>
        </w:rPr>
        <w:t xml:space="preserve">Response. </w:t>
      </w:r>
      <w:r>
        <w:t>The two sets of values do come from different runs, and the manuscript previously failed to say so. Table 9 reports the main evaluation. The ablation configurations of Table 10 were trained in a separate run on the same administrator-level partition. This is now stated in Section 4.6 and in the Table 10 caption.</w:t>
      </w:r>
    </w:p>
    <w:p>
      <w:r>
        <w:t>The Conclusion previously mixed the two, reporting macro-F1 of 90.17% (a Table 10 value) alongside accuracy, precision and recall from Table 9. It now reports the Table 9 figure of 90.57% throughout.</w:t>
      </w:r>
    </w:p>
    <w:p>
      <w:r>
        <w:t>On the interpretation of the gap, we have deliberately not followed the course of describing the roughly 0.4-point difference as an estimate of run-to-run variation. Two runs cannot support such an estimate, and doing so would also sit awkwardly with our answer to point 9, where we state that all results come from single runs. Section 4.9 therefore reports the difference as an observation and states explicitly that differences of comparable or smaller magnitude between configurations cannot be interpreted without repeated runs. We agree that re-running the full configuration within the ablation run would be the cleaner solution and have recorded it as required future work.</w:t>
      </w:r>
    </w:p>
    <w:p>
      <w:pPr>
        <w:spacing w:before="240"/>
      </w:pPr>
      <w:r>
        <w:rPr>
          <w:b/>
          <w:sz w:val="23"/>
        </w:rPr>
        <w:t>4. Identification of the strongest baseline</w:t>
      </w:r>
    </w:p>
    <w:p>
      <w:pPr>
        <w:ind w:left="360"/>
      </w:pPr>
      <w:r>
        <w:rPr>
          <w:b/>
          <w:i/>
        </w:rPr>
        <w:t xml:space="preserve">Comment. </w:t>
      </w:r>
      <w:r>
        <w:rPr>
          <w:i/>
        </w:rPr>
        <w:t>Table 11 reports a higher macro-F1 for BERT + MLP (0.8529) than for BERT + Perceiver Fusion (0.8472). Therefore, the improvement over the strongest reported baseline is 5.28 percentage points in macro-F1, rather than approximately 5.9 points.</w:t>
      </w:r>
    </w:p>
    <w:p>
      <w:r>
        <w:rPr>
          <w:b/>
        </w:rPr>
        <w:t xml:space="preserve">Response. </w:t>
      </w:r>
      <w:r>
        <w:t>Corrected. The arithmetic error was ours. Section 4.7 no longer describes Perceiver fusion as the strongest baseline; it now states that the strongest macro-F1 among the four baselines is obtained by BERT + MLP late fusion (0.8529), and that measured against that baseline the improvement is 5.28 percentage points of macro-F1 and 5.11 percentage points of accuracy. The comparison against Perceiver fusion is retained as a separate statement with its own correct margins. The Abstract now reports the 5.28 figure against the named strongest baseline, and the Conclusion does likewise.</w:t>
      </w:r>
    </w:p>
    <w:p>
      <w:pPr>
        <w:spacing w:before="240"/>
      </w:pPr>
      <w:r>
        <w:rPr>
          <w:b/>
          <w:sz w:val="23"/>
        </w:rPr>
        <w:t>5. Evaluation of learned modality weights against known informativeness</w:t>
      </w:r>
    </w:p>
    <w:p>
      <w:pPr>
        <w:ind w:left="360"/>
      </w:pPr>
      <w:r>
        <w:rPr>
          <w:b/>
          <w:i/>
        </w:rPr>
        <w:t xml:space="preserve">Comment. </w:t>
      </w:r>
      <w:r>
        <w:rPr>
          <w:i/>
        </w:rPr>
        <w:t>A central contribution is the proposed evaluation of learned modality weights against known informativeness in the simulation. However, the manuscript does not present the corresponding experimental results. Learned weights should not be assumed to directly represent predictive contribution without supporting evidence.</w:t>
      </w:r>
    </w:p>
    <w:p>
      <w:r>
        <w:rPr>
          <w:b/>
        </w:rPr>
        <w:t xml:space="preserve">Response. </w:t>
      </w:r>
      <w:r>
        <w:t>This experiment was not carried out, and the claim should not have been made. We have withdrawn it rather than argue for it, and we accept the methodological point that a learned softmax weight is not a measure of predictive contribution.</w:t>
      </w:r>
    </w:p>
    <w:p>
      <w:r>
        <w:t>The claim has been removed from every location in which it appeared:</w:t>
      </w:r>
    </w:p>
    <w:p>
      <w:pPr>
        <w:pStyle w:val="ListBullet"/>
        <w:spacing w:after="40"/>
      </w:pPr>
      <w:r>
        <w:t>The Abstract no longer presents the attribution outputs as interpretability results; it states that they are produced by the implementation but not analyzed.</w:t>
      </w:r>
    </w:p>
    <w:p>
      <w:pPr>
        <w:pStyle w:val="ListBullet"/>
        <w:spacing w:after="40"/>
      </w:pPr>
      <w:r>
        <w:t>Contribution 2 now states that the learned weights are evaluated only through their effect on classification performance in the cumulative ablation, and that their correspondence with the known informativeness of each modality is not assessed.</w:t>
      </w:r>
    </w:p>
    <w:p>
      <w:pPr>
        <w:pStyle w:val="ListBullet"/>
        <w:spacing w:after="40"/>
      </w:pPr>
      <w:r>
        <w:t>The closing sentences of Sections 3.4 and 3.5, which promised analysis of the effect of each modality, now state that these outputs are exposed for future analysis that is not carried out here.</w:t>
      </w:r>
    </w:p>
    <w:p>
      <w:pPr>
        <w:pStyle w:val="ListBullet"/>
        <w:spacing w:after="40"/>
      </w:pPr>
      <w:r>
        <w:t>The 'Explainability' row of Table 7 records that these outputs are exposed but not analyzed, and that the reported interpretability analysis is SHAP only.</w:t>
      </w:r>
    </w:p>
    <w:p>
      <w:r>
        <w:t>Section 4.9 contains a dedicated paragraph, 'Modality importance was not validated', which states the operationalisation the reviewer describes - comparing learned weights against the generator's designed informativeness while varying modality-specific noise and missingness - as required future work.</w:t>
      </w:r>
    </w:p>
    <w:p>
      <w:pPr>
        <w:spacing w:before="240"/>
      </w:pPr>
      <w:r>
        <w:rPr>
          <w:b/>
          <w:sz w:val="23"/>
        </w:rPr>
        <w:t>6. How the Temporal Behavioral Memory module accesses longitudinal information</w:t>
      </w:r>
    </w:p>
    <w:p>
      <w:pPr>
        <w:ind w:left="360"/>
      </w:pPr>
      <w:r>
        <w:rPr>
          <w:b/>
          <w:i/>
        </w:rPr>
        <w:t xml:space="preserve">Comment. </w:t>
      </w:r>
      <w:r>
        <w:rPr>
          <w:i/>
        </w:rPr>
        <w:t>Equation 10 and Algorithm 1 appear to supply the current administrator-month representation and its month index, but do not explicitly describe a sequence of previous observations from the same administrator. If the module uses only the current observation and a month embedding, the claims about learning individual behavioral trajectories should be revised.</w:t>
      </w:r>
    </w:p>
    <w:p>
      <w:r>
        <w:rPr>
          <w:b/>
        </w:rPr>
        <w:t xml:space="preserve">Response. </w:t>
      </w:r>
      <w:r>
        <w:t>The reviewer's reading of the architecture is correct. The module receives only the current administrator-month representation and its month index; it cannot and does not learn individual trajectories. The claims have been revised accordingly.</w:t>
      </w:r>
    </w:p>
    <w:p>
      <w:r>
        <w:t>A new paragraph in Section 3.4, 'Input and scope of the Temporal Behavioral Memory Encoder', reports that the module receives the hierarchical cross-modal embedding of shape B x 256 together with the scalar month index; that the index selects one of twelve learnable month embeddings which is added to the embedding before it attends over sixteen learnable memory tokens with eight heads; and that no earlier observations are supplied, no sequence is constructed and no temporal masking is applied. It concludes that the module captures month-of-year regularities and population-level behavioral prototypes rather than administrator-specific trajectories.</w:t>
      </w:r>
    </w:p>
    <w:p>
      <w:r>
        <w:t>Trajectory claims have been removed from the Abstract, from the Introduction, and from Contribution 4, which previously stated that the module allows the framework 'to model longitudinal behavioral patterns'. We agree that supplying all twelve months as a masked sequence would be the architecturally correct way to support the stronger claim, and this is noted as future work.</w:t>
      </w:r>
    </w:p>
    <w:p>
      <w:pPr>
        <w:spacing w:before="240"/>
      </w:pPr>
      <w:r>
        <w:rPr>
          <w:b/>
          <w:sz w:val="23"/>
        </w:rPr>
        <w:t>7. Ablation design and the interpretation of its results</w:t>
      </w:r>
    </w:p>
    <w:p>
      <w:pPr>
        <w:ind w:left="360"/>
      </w:pPr>
      <w:r>
        <w:rPr>
          <w:b/>
          <w:i/>
        </w:rPr>
        <w:t xml:space="preserve">Comment. </w:t>
      </w:r>
      <w:r>
        <w:rPr>
          <w:i/>
        </w:rPr>
        <w:t>The text describes components as being added individually, but subsequently interprets the results as sequential additions. Specify the components included in each configuration, use identical data partitions and comparable training conditions, and include the corresponding baseline. The statements that DMIL does not improve performance and that the full model does not outperform BERT + MLP in all metrics are not supported by the values currently presented.</w:t>
      </w:r>
    </w:p>
    <w:p>
      <w:r>
        <w:rPr>
          <w:b/>
        </w:rPr>
        <w:t xml:space="preserve">Response. </w:t>
      </w:r>
      <w:r>
        <w:t>Both criticisms are correct, and the second concerned statements that were simply wrong relative to our own table.</w:t>
      </w:r>
    </w:p>
    <w:p>
      <w:r>
        <w:t>On the design, Section 4.6 now states that the configurations are cumulative and lists the components of each: (i) BERT + MLP, (ii) + DMIL with confidence-guided reweighting, (iii) + hierarchical cross-modal Transformer, (iv) + temporal behavioral memory, and (v) the full model adding cross-modal consistency learning and adaptive fusion. It also states that all configurations use the identical administrator-level partition of Section 4.1 and the hyperparameters of Table 7. The row labels in Table 10 now carry a '+' prefix to make the cumulative structure visible, and the BERT + MLP reference row has been added as the first data row.</w:t>
      </w:r>
    </w:p>
    <w:p>
      <w:r>
        <w:t>On the interpretation, the claim that DMIL does not improve performance has been removed. With the reference row present, adding DMIL raises macro-F1 from 0.8529 to 0.8807, an increase of 2.78 percentage points, and the text now says so. The claim that the full model does not outperform BERT + MLP on all metrics has likewise been removed; the full configuration improves both accuracy and macro-F1 over the reference on every reported metric in this run.</w:t>
      </w:r>
    </w:p>
    <w:p>
      <w:r>
        <w:t>Correcting these statements exposed a finding we now report directly rather than leave to the reader. Read cumulatively, the final step - adding cross-modal consistency learning and adaptive fusion - improves macro-F1 by 0.0001, from 0.9016 to 0.9017. On a single run this is not distinguishable from run-to-run variation. Section 4.6 therefore states that we do not claim a measurable benefit for these two components on this benchmark; Contribution 5 has been narrowed to match; and the Conclusion states that their contribution was not measurable. Resolving whether they help would require repeated runs across multiple seeds, which is recorded in Section 4.9.</w:t>
      </w:r>
    </w:p>
    <w:p>
      <w:pPr>
        <w:spacing w:before="240"/>
      </w:pPr>
      <w:r>
        <w:rPr>
          <w:b/>
          <w:sz w:val="23"/>
        </w:rPr>
        <w:t>8. Strengthening the baseline comparisons</w:t>
      </w:r>
    </w:p>
    <w:p>
      <w:pPr>
        <w:ind w:left="360"/>
      </w:pPr>
      <w:r>
        <w:rPr>
          <w:b/>
          <w:i/>
        </w:rPr>
        <w:t xml:space="preserve">Comment. </w:t>
      </w:r>
      <w:r>
        <w:rPr>
          <w:i/>
        </w:rPr>
        <w:t>Report the inputs, architectural adaptations, parameter counts, tuning procedures, and training budgets for each baseline. Include single-modality models, particularly a survey-only model, and suitable simpler tabular classifiers to establish whether the additional modalities and architectural complexity provide meaningful benefits.</w:t>
      </w:r>
    </w:p>
    <w:p>
      <w:r>
        <w:rPr>
          <w:b/>
        </w:rPr>
        <w:t xml:space="preserve">Response. </w:t>
      </w:r>
      <w:r>
        <w:t>A new paragraph, 'Baseline configurations', has been added to Section 4.7. It reports the inputs and fusion mechanism of each baseline: BERT + MLP late fusion concatenates the CLS embedding with the 71 standardized structured features; two-modal MulT applies bidirectional text-to-tabular and tabular-to-text cross-modal attention followed by Transformer fusion; BERT + GMU combines the projected text and tabular representations through a gated multimodal unit; and BERT + Perceiver fusion cross-attends learned latent queries over the concatenated token sequences. All baselines use the same administrator-level partition, text encoder, optimizer, schedule and epoch budget as the proposed model.</w:t>
      </w:r>
    </w:p>
    <w:p>
      <w:r>
        <w:t>On the second part of the comment we must be straightforward: the single-modality and classical tabular baselines were not run, and we regard this as the most significant remaining gap in the evaluation. We have therefore stated the consequence rather than minimised it. A second new paragraph in Section 4.7 records that parameter counts and tuning budgets were not matched, so part of the observed margin may reflect capacity rather than the fusion mechanism; and that without a survey-only model or a gradient boosting classifier over the 71 structured features we cannot establish that the additional modalities and architectural complexity provide a benefit beyond what the survey block alone supports. We note explicitly that the SHAP analysis of Section 4.8, which attributes most importance to survey-derived features, makes this question particularly pertinent. The limitation is repeated in Section 4.9 under 'Baseline coverage', and our claims in Section 4.7 and the Conclusion are correspondingly restricted to the four multimodal fusion baselines actually evaluated.</w:t>
      </w:r>
    </w:p>
    <w:p>
      <w:pPr>
        <w:spacing w:before="240"/>
      </w:pPr>
      <w:r>
        <w:rPr>
          <w:b/>
          <w:sz w:val="23"/>
        </w:rPr>
        <w:t>9. Robustness across seeds and datasets, and clustered observations</w:t>
      </w:r>
    </w:p>
    <w:p>
      <w:pPr>
        <w:ind w:left="360"/>
      </w:pPr>
      <w:r>
        <w:rPr>
          <w:b/>
          <w:i/>
        </w:rPr>
        <w:t xml:space="preserve">Comment. </w:t>
      </w:r>
      <w:r>
        <w:rPr>
          <w:i/>
        </w:rPr>
        <w:t>Please evaluate robustness across multiple training seeds and independently generated synthetic datasets. Report variability and appropriate uncertainty estimates. Because monthly observations are clustered within administrators, uncertainty estimation should account for this dependence. Sensitivity analyses should also examine changes in the generator's noise levels, class proportions, temporal persistence, and missingness assumptions.</w:t>
      </w:r>
    </w:p>
    <w:p>
      <w:r>
        <w:rPr>
          <w:b/>
        </w:rPr>
        <w:t xml:space="preserve">Response. </w:t>
      </w:r>
      <w:r>
        <w:t>All reported results come from single training runs, and we now state this prominently rather than leaving it to be inferred. Table 7 includes a 'Number of Runs' row recording a single run with no multi-seed repetition, and Section 4.1 states that the numbers in Sections 4.3 to 4.7 come from single runs and are reported without uncertainty estimates.</w:t>
      </w:r>
    </w:p>
    <w:p>
      <w:r>
        <w:t>We also accept the point about clustering, which we had not addressed. Section 4.1 now notes that because monthly observations are nested within administrators, the effective sample size is closer to the 1,500 administrators than to the 18,000 records, and that uncertainty estimation should account for this dependence; Section 4.9 states that future estimates should bootstrap over administrator identifiers rather than over records.</w:t>
      </w:r>
    </w:p>
    <w:p>
      <w:r>
        <w:t>The multi-seed experiments, the independently generated datasets and the generator sensitivity analyses were not performed. Section 4.9 lists them as required future work under 'Single runs and absent uncertainty estimates', and the Conclusion repeats the requirement. We acknowledge that this limits what can be concluded from small differences between configurations, and we have adjusted the ablation discussion under point 7 accordingly rather than claiming significance we cannot support.</w:t>
      </w:r>
    </w:p>
    <w:p>
      <w:pPr>
        <w:spacing w:before="240"/>
      </w:pPr>
      <w:r>
        <w:rPr>
          <w:b/>
          <w:sz w:val="23"/>
        </w:rPr>
        <w:t>10. Justification of the simulation assumptions and behavioral categories</w:t>
      </w:r>
    </w:p>
    <w:p>
      <w:pPr>
        <w:ind w:left="360"/>
      </w:pPr>
      <w:r>
        <w:rPr>
          <w:b/>
          <w:i/>
        </w:rPr>
        <w:t xml:space="preserve">Comment. </w:t>
      </w:r>
      <w:r>
        <w:rPr>
          <w:i/>
        </w:rPr>
        <w:t>The proportions, latent profiles, trait relationships, and effectiveness and overload formulas are imposed by design. Explain their theoretical or empirical basis and discuss the implications of assigning mutually exclusive categories when high effectiveness and overload could coexist.</w:t>
      </w:r>
    </w:p>
    <w:p>
      <w:r>
        <w:rPr>
          <w:b/>
        </w:rPr>
        <w:t xml:space="preserve">Response. </w:t>
      </w:r>
      <w:r>
        <w:t>A new subsection, 'Basis and limits of the simulation assumptions', has been added to Section 3.1. It identifies the latent profiles and their proportions, the trait correlation structure, the autoregressive persistence, the modality noise levels, the missingness rates and the effectiveness and overload composites as design choices rather than parameters estimated from institutional data. It explains that they were selected so that the benchmark exhibits properties a multimodal model should be able to exploit - complementary information across modalities, temporal persistence within administrators, plausible class imbalance and workload-linked non-random missingness - and states that no claim is made that these values reproduce any real administrator population, and that the magnitudes in Table 4 should not be read as empirical estimates.</w:t>
      </w:r>
    </w:p>
    <w:p>
      <w:r>
        <w:t>On the conceptual objection, which we think is the more important half of the comment, a second paragraph addresses it directly. Because behaviour_category ranks a composite of the latent state and assigns exactly one of five mutually exclusive labels, an administrator who is simultaneously highly effective and overloaded is forced into a single category and cannot be represented. We state that a multi-label formulation, or a two-dimensional representation scoring effectiveness and overload separately, would be more faithful to the construct, and we record this as future work. The paragraph concludes that predictive performance demonstrates recovery of the simulated labeling structure and does not establish the validity of these five categories for actual personnel assessment.</w:t>
      </w:r>
    </w:p>
    <w:p>
      <w:pPr>
        <w:spacing w:before="240"/>
      </w:pPr>
      <w:r>
        <w:rPr>
          <w:b/>
          <w:sz w:val="23"/>
        </w:rPr>
        <w:t>11. Implementation detail for reproducibility, and supervision of auxiliary components</w:t>
      </w:r>
    </w:p>
    <w:p>
      <w:pPr>
        <w:ind w:left="360"/>
      </w:pPr>
      <w:r>
        <w:rPr>
          <w:b/>
          <w:i/>
        </w:rPr>
        <w:t xml:space="preserve">Comment. </w:t>
      </w:r>
      <w:r>
        <w:rPr>
          <w:i/>
        </w:rPr>
        <w:t>Please provide sufficient implementation detail for reproducibility, including exact split sizes, feature lists, metadata encoding and integration, text aggregation and truncation procedures, software versions, hardware, and the BERT layers that were frozen or fine-tuned. The architecture includes auxiliary outputs and a consistency module, but the reported loss contains only classification cross-entropy. Clarify whether these components receive dedicated supervision.</w:t>
      </w:r>
    </w:p>
    <w:p>
      <w:r>
        <w:rPr>
          <w:b/>
        </w:rPr>
        <w:t xml:space="preserve">Response. </w:t>
      </w:r>
      <w:r>
        <w:t>The requested detail has been added in two places. Section 4.1 now reports the exact partition - 1,050 training, 225 validation and 225 test administrators, corresponding to 12,600, 2,700 and 2,700 administrator-month records - together with the intersection checks, the concatenation of same-administrator-month documents into a single input, truncation or padding to 256 word-pieces, the frozen and fine-tuned BERT layers, and the random seed. Table 7 has been extended with rows for the metadata feature count and encoding, the administrator-level and record-level splits, the fine-tuned and frozen BERT layers with their parameter counts, the absence of auxiliary losses, the random seed and the number of runs.</w:t>
      </w:r>
    </w:p>
    <w:p>
      <w:r>
        <w:t>On the text encoder specifically: the embedding layer and encoder layers 0 to 9 are frozen, while encoder layers 10 and 11 and the pooler are fine-tuned. We note that this is independently verifiable from Table 6, since two encoder layers at 7,087,872 parameters each plus the 590,592-parameter pooler give exactly the 14,766,336 trainable parameters reported, leaving exactly 94,715,904 frozen out of the 109,482,240 parameters of bert-base-uncased.</w:t>
      </w:r>
    </w:p>
    <w:p>
      <w:r>
        <w:t>On the second part of the comment, the reviewer has identified a genuine mismatch between our architecture description and our objective. The loss is the weighted cross-entropy with label smoothing of Equation 14 applied to the five-class primary logits only. The three auxiliary outputs and the cross-modal consistency module receive no dedicated loss, no targets and no weighting coefficients; the auxiliary heads are updated only through the gradient reaching the shared representation, and the consistency module only through its contribution to the fused representation. A new paragraph in Section 3.4, 'Supervision of the auxiliary and consistency components', states this. Because 'multi-task' claimed something we do not do, the module has been renamed throughout the manuscript to 'Classification Head with Auxiliary Outputs', including in the Abstract, the Introduction, Sections 3 and 3.4, Table 1 and Table 5.</w:t>
      </w:r>
    </w:p>
    <w:p>
      <w:pPr>
        <w:spacing w:before="240"/>
      </w:pPr>
      <w:r>
        <w:rPr>
          <w:b/>
          <w:sz w:val="23"/>
        </w:rPr>
        <w:t>12. Documentation of the SHAP procedure and the announced interpretability analyses</w:t>
      </w:r>
    </w:p>
    <w:p>
      <w:pPr>
        <w:ind w:left="360"/>
      </w:pPr>
      <w:r>
        <w:rPr>
          <w:b/>
          <w:i/>
        </w:rPr>
        <w:t xml:space="preserve">Comment. </w:t>
      </w:r>
      <w:r>
        <w:rPr>
          <w:i/>
        </w:rPr>
        <w:t>Please document the SHAP procedure, including the explainer, background and evaluation samples, explained output, treatment of correlated features, and handling of text and temporal inputs. Clarify whether SHAP explains the complete model or a surrogate. Also provide the modality-weight, confidence-gate, temporal-attention, and cross-modal-attention analyses announced in the manuscript, or narrow the interpretability claims accordingly.</w:t>
      </w:r>
    </w:p>
    <w:p>
      <w:r>
        <w:rPr>
          <w:b/>
        </w:rPr>
        <w:t xml:space="preserve">Response. </w:t>
      </w:r>
      <w:r>
        <w:t>A new paragraph, 'SHAP procedure', has been added at the start of Section 4.8. It states that KernelExplainer was applied to the complete trained model and not to a surrogate; that the explained inputs are the 71 standardized structured features comprising 22 administrative, 43 survey and 6 metadata features; that the background distribution was drawn from the training partition and the explained instances from the test partition; and that the explained output is the predicted probability of the model's predicted class.</w:t>
      </w:r>
    </w:p>
    <w:p>
      <w:r>
        <w:t>On the handling of the non-tabular inputs, which the reviewer was right to ask about: because KernelExplainer perturbs a fixed-length numeric vector, the tokenized text was held at a single reference administrator-month input and the month index at its median value during perturbation. The paragraph states that the attributions are therefore conditional on that reference text and month, that they describe the contribution of the structured features given a fixed textual and temporal context, and that no attribution is reported for the textual modality for this reason.</w:t>
      </w:r>
    </w:p>
    <w:p>
      <w:r>
        <w:t>We also accept the point about correlated features, which materially qualifies our results. Because the survey block contains mean, median and standard-deviation statistics for each questionnaire item, many inputs are strongly correlated, while KernelExplainer assumes feature independence. The closing paragraph of Section 4.8 now states that attribution mass may be distributed arbitrarily among correlated siblings and that individual rankings within the survey block should be read as group-level rather than feature-level evidence. The answer to RQ3 is correspondingly stated at the level of feature groups: attribution concentrates in the survey-derived block rather than in the operational administrative counts.</w:t>
      </w:r>
    </w:p>
    <w:p>
      <w:r>
        <w:t>The modality-weight, confidence-gate, temporal-attention and cross-modal-attention analyses were not performed, and we have narrowed the claims rather than assert them. These outputs are now described consistently as exposed by the implementation but not analyzed, in the Abstract, the Introduction, Sections 3.4 and 3.5, the 'Explainability' row of Table 7, and a dedicated paragraph in Section 4.9.</w:t>
      </w:r>
    </w:p>
    <w:p>
      <w:pPr>
        <w:spacing w:before="240"/>
      </w:pPr>
      <w:r>
        <w:rPr>
          <w:b/>
          <w:sz w:val="23"/>
        </w:rPr>
        <w:t>13. Distinguishing synthetic performance from evidence about real behavior</w:t>
      </w:r>
    </w:p>
    <w:p>
      <w:pPr>
        <w:ind w:left="360"/>
      </w:pPr>
      <w:r>
        <w:rPr>
          <w:b/>
          <w:i/>
        </w:rPr>
        <w:t xml:space="preserve">Comment. </w:t>
      </w:r>
      <w:r>
        <w:rPr>
          <w:i/>
        </w:rPr>
        <w:t>Please revise the discussion and conclusion to consistently distinguish performance on synthetic data from evidence about real institutional behavior, and discuss the risks and validation requirements associated with using such categories in personnel-related decisions.</w:t>
      </w:r>
    </w:p>
    <w:p>
      <w:r>
        <w:rPr>
          <w:b/>
        </w:rPr>
        <w:t xml:space="preserve">Response. </w:t>
      </w:r>
      <w:r>
        <w:t>The Conclusion has been rewritten so that each claim is traceable to a reported result. The sentence asserting that the framework 'proved to be an efficient and interpretable approach' has been removed: efficiency was never measured, and following points 5 and 12 the interpretability evidence is limited to the SHAP analysis. The Conclusion now states that the results characterize the framework as recovering the labeling structure of the simulation benchmark, and that they establish neither computational efficiency nor interpretability beyond Section 4.8, and provide no evidence about real institutional behavior.</w:t>
      </w:r>
    </w:p>
    <w:p>
      <w:r>
        <w:t>The ablation sentence has been softened in line with point 7, and the metric error identified in point 3 is corrected. A sentence has been added stating that validation on real institutional data is a prerequisite for applied use, ahead of the existing future work on additional modalities.</w:t>
      </w:r>
    </w:p>
    <w:p>
      <w:r>
        <w:t>On risks, Section 4.9 closes with a paragraph, 'Risks of applied use', stating that the categories are simulated constructs and that the mutually exclusive treatment of effectiveness and overload is itself a simplification. It sets out what would be required before such a classifier informed real decisions on evaluation, promotion or workload allocation: construct validation against externally measured outcomes, auditing for disparate performance across protected attributes including gender, age and institution type, demonstrated calibration on the receiving population, and human oversight with a route to contest automated assessments. It concludes that none of these conditions is met by the present work and that the framework should be regarded as a research instrument rather than an assessment tool.</w:t>
      </w:r>
    </w:p>
    <w:p>
      <w:pPr>
        <w:spacing w:before="240"/>
      </w:pPr>
      <w:r>
        <w:rPr>
          <w:b/>
          <w:sz w:val="23"/>
        </w:rPr>
        <w:t>14. Correspondence between in-text citations and the reference list</w:t>
      </w:r>
    </w:p>
    <w:p>
      <w:pPr>
        <w:ind w:left="360"/>
      </w:pPr>
      <w:r>
        <w:rPr>
          <w:b/>
          <w:i/>
        </w:rPr>
        <w:t xml:space="preserve">Comment. </w:t>
      </w:r>
      <w:r>
        <w:rPr>
          <w:i/>
        </w:rPr>
        <w:t>Please audit the correspondence between in-text citations and the reference list. Several descriptions do not match their numbered references. For example, the introduction describes reference 4 as a retracted Transformer study, whereas the listed reference concerns a different architecture.</w:t>
      </w:r>
    </w:p>
    <w:p>
      <w:r>
        <w:rPr>
          <w:b/>
        </w:rPr>
        <w:t xml:space="preserve">Response. </w:t>
      </w:r>
      <w:r>
        <w:t>We audited every in-text citation against the reference list, and we were unable to reproduce the misalignment. We set out the verification below, and we would be glad to correct any specific pairing the reviewer can point us to.</w:t>
      </w:r>
    </w:p>
    <w:p>
      <w:r>
        <w:t>Taking the example given, reference [4] in the submitted manuscript is:</w:t>
      </w:r>
    </w:p>
    <w:p>
      <w:pPr>
        <w:ind w:left="360"/>
      </w:pPr>
      <w:r>
        <w:rPr>
          <w:i/>
        </w:rPr>
        <w:t>Gong, Y., Wang, F., Zhang, Y. and Geng, J., 2025. RETRACTED: TGEL-transformer: Fusing educational theories with deep learning for interpretable student performance prediction. PLoS ONE, 20(6), e0327481.</w:t>
      </w:r>
    </w:p>
    <w:p>
      <w:r>
        <w:t>The corresponding passage in Section 1 describes [4] as a theory-guided Transformer approach to interpretable student performance prediction that combines heterogeneous educational factors with theory-guided attention, and notes that the reference indicates the work was retracted. The authors, the architecture, the task and the retraction status all correspond to the listed reference, which is marked RETRACTED in its own title.</w:t>
      </w:r>
    </w:p>
    <w:p>
      <w:r>
        <w:t>We checked the remaining citations in the same way. References [1] Zheng et al. (AMTBA), [2] Patidar et al. (Edulyze), [3] Moon et al. (multimodal formative assessment), [5] Sridharan and Akilashri (MS-DDTCN with improved Chameleon Swarm), [6] Ouhaichi et al. (MMLA design interview study), [7] Bird (educational literature complexity), [8] Sun et al. (personalized learning paths with quantum state classification), [9] Wang (adaptive pedagogy under uncertain preferences), [10] Boufaida et al. (TSA-GRU), [11] Lin et al. (RT-DETR classroom behavior detection), [12] Zhou et al. (multimodal image recognition in smart classrooms), [13] Kui et al. (TSSeer), [14] Lee and Zhai (GPT-4V), [15] Davalos et al. (LLMs as educational analysts), [16] Korban et al. (multi-modal Transformer for classroom instruction analysis) and [17] Guo (real-time teaching quality assessment) each match their in-text description. We found no off-by-one offset at any position.</w:t>
      </w:r>
    </w:p>
    <w:p>
      <w:r>
        <w:t>We have therefore retained the existing citations, including the note on the retraction status of [4]. We consider that note worth keeping on substance: the retraction is the reason we do not treat that work as supporting evidence, and removing the note would leave a reader unaware of it. We recognise that two versions of this manuscript exist with slightly different table numbering, and if the reviewer consulted a different version we would welcome the specific citation numbers at issue so that we can correct them.</w:t>
      </w:r>
    </w:p>
    <w:p>
      <w:pPr>
        <w:spacing w:before="320"/>
      </w:pPr>
      <w:r>
        <w:rPr>
          <w:b/>
          <w:color w:val="1F3B73"/>
          <w:sz w:val="26"/>
        </w:rPr>
        <w:t>Additional corrections made on our own initiative</w:t>
      </w:r>
    </w:p>
    <w:p>
      <w:r>
        <w:t>While working through the comments we audited every numerical value in the manuscript against the tables. This identified three inconsistencies that the reviewers did not raise, all of which have been corrected.</w:t>
      </w:r>
    </w:p>
    <w:p>
      <w:pPr>
        <w:spacing w:before="240"/>
      </w:pPr>
      <w:r>
        <w:rPr>
          <w:b/>
          <w:sz w:val="23"/>
        </w:rPr>
        <w:t>A. Macro recall was reported with three different values</w:t>
      </w:r>
    </w:p>
    <w:p>
      <w:r>
        <w:t>The same quantity appeared as 0.9129 in Sections 4.3 and 4.7 and in Table 9, as 0.9192 in Tables 10 and 11, and as 0.9172 in Section 4.6. We traced this to two separate transcription errors. The main-run recall is 0.9129, as given in Table 9; the value of 0.9192 in the EduFusionFormer row of Table 11 had been copied from the ablation run and has been corrected to 0.9129. The ablation-run recall is 0.9192, as given in Table 10; the value of 0.9172 in the Section 4.6 text was a transcription error and has been corrected to 0.9192. Main-run and ablation-run values are now internally consistent and clearly attributed to their respective runs.</w:t>
      </w:r>
    </w:p>
    <w:p>
      <w:pPr>
        <w:spacing w:before="240"/>
      </w:pPr>
      <w:r>
        <w:rPr>
          <w:b/>
          <w:sz w:val="23"/>
        </w:rPr>
        <w:t>B. Section 4.6 text disagreed with Table 10</w:t>
      </w:r>
    </w:p>
    <w:p>
      <w:r>
        <w:t>The sentence describing the full configuration reported a recall that differed from the value in the table it was describing. This is resolved by the correction above.</w:t>
      </w:r>
    </w:p>
    <w:p>
      <w:pPr>
        <w:spacing w:before="240"/>
      </w:pPr>
      <w:r>
        <w:rPr>
          <w:b/>
          <w:sz w:val="23"/>
        </w:rPr>
        <w:t>C. The Abstract described the ablation in the conditional</w:t>
      </w:r>
    </w:p>
    <w:p>
      <w:r>
        <w:t>The Abstract stated that 'the ablation analysis can be conducted to evaluate the performance of its components', which suggested the analysis had not been carried out. The Abstract now reports the ablation in the past tense together with its actual outcome, including the finding that the consistency and adaptive fusion components did not yield a measurable improvement.</w:t>
      </w:r>
    </w:p>
    <w:p>
      <w:pPr>
        <w:spacing w:before="240"/>
      </w:pPr>
      <w:r>
        <w:rPr>
          <w:b/>
          <w:sz w:val="23"/>
        </w:rPr>
        <w:t>D. Terminology and typographical corrections</w:t>
      </w:r>
    </w:p>
    <w:p>
      <w:pPr>
        <w:pStyle w:val="ListBullet"/>
        <w:spacing w:after="40"/>
      </w:pPr>
      <w:r>
        <w:t>Section 4.8 referred to 'respondents_quickly_mean'; the feature is 'responds_quickly_mean'.</w:t>
      </w:r>
    </w:p>
    <w:p>
      <w:pPr>
        <w:pStyle w:val="ListBullet"/>
        <w:spacing w:after="40"/>
      </w:pPr>
      <w:r>
        <w:t>'Multi-Task Classification Head' has been renamed throughout, as described under point 11, including in Table 1 and Table 5 and in the framework overview in Section 3.</w:t>
      </w:r>
    </w:p>
    <w:p>
      <w:pPr>
        <w:pStyle w:val="ListBullet"/>
        <w:spacing w:after="40"/>
      </w:pPr>
      <w:r>
        <w:t>Overclaim verbs have been revised in Sections 4.2, 4.3 and 4.4, where convergence curves and AUC values were previously said to 'prove' properties of the framework.</w:t>
      </w:r>
    </w:p>
    <w:p/>
    <w:p>
      <w:r>
        <w:t>We hope these revisions address the reviewers' concerns. We are grateful in particular for the close checking of numbers against tables, which uncovered errors we had missed, and for the observations on the temporal module and the auxiliary heads, which identified places where our description claimed more than our implementation does.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