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7d0953343e66f016fe4c47e11857472ae0dc43"/>
    <w:p>
      <w:pPr>
        <w:pStyle w:val="Heading1"/>
      </w:pPr>
      <w:r>
        <w:t xml:space="preserve">EBB-Net: Point-by-Point Revision Verification Report</w:t>
      </w:r>
    </w:p>
    <w:p>
      <w:pPr>
        <w:pStyle w:val="FirstParagraph"/>
      </w:pPr>
      <w:r>
        <w:rPr>
          <w:bCs/>
          <w:b/>
        </w:rPr>
        <w:t xml:space="preserve">Manuscript:</w:t>
      </w:r>
      <w:r>
        <w:t xml:space="preserve"> </w:t>
      </w:r>
      <w:r>
        <w:t xml:space="preserve">EBB-NET_v2.docx</w:t>
      </w:r>
      <w:r>
        <w:t xml:space="preserve"> </w:t>
      </w:r>
      <w:r>
        <w:rPr>
          <w:bCs/>
          <w:b/>
        </w:rPr>
        <w:t xml:space="preserve">Response letter:</w:t>
      </w:r>
      <w:r>
        <w:t xml:space="preserve"> </w:t>
      </w:r>
      <w:r>
        <w:t xml:space="preserve">Response to Reviewers — EBB-Net.docx</w:t>
      </w:r>
      <w:r>
        <w:t xml:space="preserve"> </w:t>
      </w:r>
      <w:r>
        <w:rPr>
          <w:bCs/>
          <w:b/>
        </w:rPr>
        <w:t xml:space="preserve">Date:</w:t>
      </w:r>
      <w:r>
        <w:t xml:space="preserve"> </w:t>
      </w:r>
      <w:r>
        <w:t xml:space="preserve">28 October 2026</w:t>
      </w:r>
    </w:p>
    <w:p>
      <w:pPr>
        <w:pStyle w:val="BodyText"/>
      </w:pPr>
      <w:r>
        <w:rPr>
          <w:bCs/>
          <w:b/>
        </w:rPr>
        <w:t xml:space="preserve">Scope note:</w:t>
      </w:r>
      <w:r>
        <w:t xml:space="preserve"> </w:t>
      </w:r>
      <w:r>
        <w:t xml:space="preserve">The reviewer and editor comments were not uploaded as a separate file. Verification was carried out against the comments as they are paraphrased inside the response letter. If any original comment contained extra requests, those requests could not be checked. The manuscript has no line numbers, so locations are given by section, table, figure and equation.</w:t>
      </w:r>
    </w:p>
    <w:bookmarkStart w:id="20" w:name="verification-table"/>
    <w:p>
      <w:pPr>
        <w:pStyle w:val="Heading2"/>
      </w:pPr>
      <w:r>
        <w:t xml:space="preserve">Verification Table</w:t>
      </w:r>
    </w:p>
    <w:tbl>
      <w:tblPr>
        <w:tblStyle w:val="Table"/>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W w:w="14798" w:type="dxa"/>
        <w:tblLayout w:type="fixed"/>
      </w:tblPr>
      <w:tblGrid>
        <w:gridCol w:w="793"/>
        <w:gridCol w:w="1927"/>
        <w:gridCol w:w="1701"/>
        <w:gridCol w:w="1134"/>
        <w:gridCol w:w="1474"/>
        <w:gridCol w:w="1304"/>
        <w:gridCol w:w="3402"/>
        <w:gridCol w:w="3061"/>
      </w:tblGrid>
      <w:tr>
        <w:trPr>
          <w:tblHeader w:val="true"/>
          <w:tblHeader w:val="true"/>
        </w:trPr>
        <w:tc>
          <w:tcPr>
            <w:tcW w:w="793" w:type="dxa"/>
            <w:shd w:val="clear" w:fill="DCE6F1"/>
          </w:tcPr>
          <w:p>
            <w:pPr>
              <w:pStyle w:val="Compact"/>
              <w:jc w:val="left"/>
            </w:pPr>
            <w:r>
              <w:rPr>
                <w:b/>
                <w:sz w:val="17"/>
              </w:rPr>
              <w:t xml:space="preserve">No.</w:t>
            </w:r>
          </w:p>
        </w:tc>
        <w:tc>
          <w:tcPr>
            <w:tcW w:w="1927" w:type="dxa"/>
            <w:shd w:val="clear" w:fill="DCE6F1"/>
          </w:tcPr>
          <w:p>
            <w:pPr>
              <w:pStyle w:val="Compact"/>
              <w:jc w:val="left"/>
            </w:pPr>
            <w:r>
              <w:rPr>
                <w:b/>
                <w:sz w:val="17"/>
              </w:rPr>
              <w:t xml:space="preserve">Reviewer/Editor Comment</w:t>
            </w:r>
          </w:p>
        </w:tc>
        <w:tc>
          <w:tcPr>
            <w:tcW w:w="1701" w:type="dxa"/>
            <w:shd w:val="clear" w:fill="DCE6F1"/>
          </w:tcPr>
          <w:p>
            <w:pPr>
              <w:pStyle w:val="Compact"/>
              <w:jc w:val="left"/>
            </w:pPr>
            <w:r>
              <w:rPr>
                <w:b/>
                <w:sz w:val="17"/>
              </w:rPr>
              <w:t xml:space="preserve">Authors’ Response</w:t>
            </w:r>
          </w:p>
        </w:tc>
        <w:tc>
          <w:tcPr>
            <w:tcW w:w="1134" w:type="dxa"/>
            <w:shd w:val="clear" w:fill="DCE6F1"/>
          </w:tcPr>
          <w:p>
            <w:pPr>
              <w:pStyle w:val="Compact"/>
              <w:jc w:val="left"/>
            </w:pPr>
            <w:r>
              <w:rPr>
                <w:b/>
                <w:sz w:val="17"/>
              </w:rPr>
              <w:t xml:space="preserve">Manuscript Revision Found?</w:t>
            </w:r>
          </w:p>
        </w:tc>
        <w:tc>
          <w:tcPr>
            <w:tcW w:w="1474" w:type="dxa"/>
            <w:shd w:val="clear" w:fill="DCE6F1"/>
          </w:tcPr>
          <w:p>
            <w:pPr>
              <w:pStyle w:val="Compact"/>
              <w:jc w:val="left"/>
            </w:pPr>
            <w:r>
              <w:rPr>
                <w:b/>
                <w:sz w:val="17"/>
              </w:rPr>
              <w:t xml:space="preserve">Location</w:t>
            </w:r>
          </w:p>
        </w:tc>
        <w:tc>
          <w:tcPr>
            <w:tcW w:w="1304" w:type="dxa"/>
            <w:shd w:val="clear" w:fill="DCE6F1"/>
          </w:tcPr>
          <w:p>
            <w:pPr>
              <w:pStyle w:val="Compact"/>
              <w:jc w:val="left"/>
            </w:pPr>
            <w:r>
              <w:rPr>
                <w:b/>
                <w:sz w:val="17"/>
              </w:rPr>
              <w:t xml:space="preserve">Status</w:t>
            </w:r>
          </w:p>
        </w:tc>
        <w:tc>
          <w:tcPr>
            <w:tcW w:w="3402" w:type="dxa"/>
            <w:shd w:val="clear" w:fill="DCE6F1"/>
          </w:tcPr>
          <w:p>
            <w:pPr>
              <w:pStyle w:val="Compact"/>
              <w:jc w:val="left"/>
            </w:pPr>
            <w:r>
              <w:rPr>
                <w:b/>
                <w:sz w:val="17"/>
              </w:rPr>
              <w:t xml:space="preserve">Verification/Concern</w:t>
            </w:r>
          </w:p>
        </w:tc>
        <w:tc>
          <w:tcPr>
            <w:tcW w:w="3061" w:type="dxa"/>
            <w:shd w:val="clear" w:fill="DCE6F1"/>
          </w:tcPr>
          <w:p>
            <w:pPr>
              <w:pStyle w:val="Compact"/>
              <w:jc w:val="left"/>
            </w:pPr>
            <w:r>
              <w:rPr>
                <w:b/>
                <w:sz w:val="17"/>
              </w:rPr>
              <w:t xml:space="preserve">Required Further Action</w:t>
            </w:r>
          </w:p>
        </w:tc>
      </w:tr>
      <w:tr>
        <w:tc>
          <w:tcPr>
            <w:tcW w:w="793" w:type="dxa"/>
          </w:tcPr>
          <w:p>
            <w:pPr>
              <w:pStyle w:val="Compact"/>
              <w:jc w:val="left"/>
            </w:pPr>
            <w:r>
              <w:rPr>
                <w:sz w:val="17"/>
              </w:rPr>
              <w:t xml:space="preserve">E1</w:t>
            </w:r>
          </w:p>
        </w:tc>
        <w:tc>
          <w:tcPr>
            <w:tcW w:w="1927" w:type="dxa"/>
          </w:tcPr>
          <w:p>
            <w:pPr>
              <w:pStyle w:val="Compact"/>
              <w:jc w:val="left"/>
            </w:pPr>
            <w:r>
              <w:rPr>
                <w:sz w:val="17"/>
              </w:rPr>
              <w:t xml:space="preserve">EEI/CSI aggregated at presentation level (22 values) but assigned to students, so the model classifies module ID</w:t>
            </w:r>
          </w:p>
        </w:tc>
        <w:tc>
          <w:tcPr>
            <w:tcW w:w="1701" w:type="dxa"/>
          </w:tcPr>
          <w:p>
            <w:pPr>
              <w:pStyle w:val="Compact"/>
              <w:jc w:val="left"/>
            </w:pPr>
            <w:r>
              <w:rPr>
                <w:sz w:val="17"/>
              </w:rPr>
              <w:t xml:space="preserve">Target redesigned as a per-enrollment-week binary decline label</w:t>
            </w:r>
          </w:p>
        </w:tc>
        <w:tc>
          <w:tcPr>
            <w:tcW w:w="1134" w:type="dxa"/>
          </w:tcPr>
          <w:p>
            <w:pPr>
              <w:pStyle w:val="Compact"/>
              <w:jc w:val="left"/>
            </w:pPr>
            <w:r>
              <w:rPr>
                <w:sz w:val="17"/>
              </w:rPr>
              <w:t xml:space="preserve">Yes</w:t>
            </w:r>
          </w:p>
        </w:tc>
        <w:tc>
          <w:tcPr>
            <w:tcW w:w="1474" w:type="dxa"/>
          </w:tcPr>
          <w:p>
            <w:pPr>
              <w:pStyle w:val="Compact"/>
              <w:jc w:val="left"/>
            </w:pPr>
            <w:r>
              <w:rPr>
                <w:sz w:val="17"/>
              </w:rPr>
              <w:t xml:space="preserve">§3.3, Eq. 5–8; Table 2</w:t>
            </w:r>
          </w:p>
        </w:tc>
        <w:tc>
          <w:tcPr>
            <w:tcW w:w="1304" w:type="dxa"/>
            <w:shd w:val="clear" w:fill="C6EFCE"/>
          </w:tcPr>
          <w:p>
            <w:pPr>
              <w:pStyle w:val="Compact"/>
              <w:jc w:val="left"/>
            </w:pPr>
            <w:r>
              <w:rPr>
                <w:b/>
                <w:sz w:val="17"/>
              </w:rPr>
              <w:t xml:space="preserve">FULLY ADDRESSED</w:t>
            </w:r>
          </w:p>
        </w:tc>
        <w:tc>
          <w:tcPr>
            <w:tcW w:w="3402" w:type="dxa"/>
          </w:tcPr>
          <w:p>
            <w:pPr>
              <w:pStyle w:val="Compact"/>
              <w:jc w:val="left"/>
            </w:pPr>
            <w:r>
              <w:rPr>
                <w:sz w:val="17"/>
              </w:rPr>
              <w:t xml:space="preserve">The label is now computed per enrollment-week. However, module one-hot features are still static inputs (§3.3), and LIME (Fig. 6) shows module=BBB/FFF/CCC among the top-15 conditions.</w:t>
            </w:r>
          </w:p>
        </w:tc>
        <w:tc>
          <w:tcPr>
            <w:tcW w:w="3061" w:type="dxa"/>
          </w:tcPr>
          <w:p>
            <w:pPr>
              <w:pStyle w:val="Compact"/>
              <w:jc w:val="left"/>
            </w:pPr>
            <w:r>
              <w:rPr>
                <w:sz w:val="17"/>
              </w:rPr>
              <w:t xml:space="preserve">Run the metadata-only and module-only diagnostics (see R1-Req2) so the claim that module identity no longer drives prediction is backed by evidence.</w:t>
            </w:r>
          </w:p>
        </w:tc>
      </w:tr>
      <w:tr>
        <w:tc>
          <w:tcPr>
            <w:tcW w:w="793" w:type="dxa"/>
          </w:tcPr>
          <w:p>
            <w:pPr>
              <w:pStyle w:val="Compact"/>
              <w:jc w:val="left"/>
            </w:pPr>
            <w:r>
              <w:rPr>
                <w:sz w:val="17"/>
              </w:rPr>
              <w:t xml:space="preserve">E2</w:t>
            </w:r>
          </w:p>
        </w:tc>
        <w:tc>
          <w:tcPr>
            <w:tcW w:w="1927" w:type="dxa"/>
          </w:tcPr>
          <w:p>
            <w:pPr>
              <w:pStyle w:val="Compact"/>
              <w:jc w:val="left"/>
            </w:pPr>
            <w:r>
              <w:rPr>
                <w:sz w:val="17"/>
              </w:rPr>
              <w:t xml:space="preserve">Static MLP outperforming LSTM shows the temporal branch was processing noise</w:t>
            </w:r>
          </w:p>
        </w:tc>
        <w:tc>
          <w:tcPr>
            <w:tcW w:w="1701" w:type="dxa"/>
          </w:tcPr>
          <w:p>
            <w:pPr>
              <w:pStyle w:val="Compact"/>
              <w:jc w:val="left"/>
            </w:pPr>
            <w:r>
              <w:rPr>
                <w:sz w:val="17"/>
              </w:rPr>
              <w:t xml:space="preserve">Temporal models now beat the single-week MLP (Table 10)</w:t>
            </w:r>
          </w:p>
        </w:tc>
        <w:tc>
          <w:tcPr>
            <w:tcW w:w="1134" w:type="dxa"/>
          </w:tcPr>
          <w:p>
            <w:pPr>
              <w:pStyle w:val="Compact"/>
              <w:jc w:val="left"/>
            </w:pPr>
            <w:r>
              <w:rPr>
                <w:sz w:val="17"/>
              </w:rPr>
              <w:t xml:space="preserve">Yes</w:t>
            </w:r>
          </w:p>
        </w:tc>
        <w:tc>
          <w:tcPr>
            <w:tcW w:w="1474" w:type="dxa"/>
          </w:tcPr>
          <w:p>
            <w:pPr>
              <w:pStyle w:val="Compact"/>
              <w:jc w:val="left"/>
            </w:pPr>
            <w:r>
              <w:rPr>
                <w:sz w:val="17"/>
              </w:rPr>
              <w:t xml:space="preserve">Table 10; §4.6</w:t>
            </w:r>
          </w:p>
        </w:tc>
        <w:tc>
          <w:tcPr>
            <w:tcW w:w="1304" w:type="dxa"/>
            <w:shd w:val="clear" w:fill="FFEB9C"/>
          </w:tcPr>
          <w:p>
            <w:pPr>
              <w:pStyle w:val="Compact"/>
              <w:jc w:val="left"/>
            </w:pPr>
            <w:r>
              <w:rPr>
                <w:b/>
                <w:sz w:val="17"/>
              </w:rPr>
              <w:t xml:space="preserve">PARTIALLY ADDRESSED</w:t>
            </w:r>
          </w:p>
        </w:tc>
        <w:tc>
          <w:tcPr>
            <w:tcW w:w="3402" w:type="dxa"/>
          </w:tcPr>
          <w:p>
            <w:pPr>
              <w:pStyle w:val="Compact"/>
              <w:jc w:val="left"/>
            </w:pPr>
            <w:r>
              <w:rPr>
                <w:sz w:val="17"/>
              </w:rPr>
              <w:t xml:space="preserve">The numbers quoted are correct. But single-week LightGBM (0.8061) and XGBoost (0.8058) beat both GRU (0.8046) and TCN (0.8048). Removing the TCN (A3) costs only 0.0006 PR-AUC. The evidence that temporal history adds value is weak, and the response overstates it.</w:t>
            </w:r>
          </w:p>
        </w:tc>
        <w:tc>
          <w:tcPr>
            <w:tcW w:w="3061" w:type="dxa"/>
          </w:tcPr>
          <w:p>
            <w:pPr>
              <w:pStyle w:val="Compact"/>
              <w:jc w:val="left"/>
            </w:pPr>
            <w:r>
              <w:rPr>
                <w:sz w:val="17"/>
              </w:rPr>
              <w:t xml:space="preserve">Acknowledge the small temporal gain. Give tree models lagged features (t-1 to t-5) as a matched comparison.</w:t>
            </w:r>
          </w:p>
        </w:tc>
      </w:tr>
      <w:tr>
        <w:tc>
          <w:tcPr>
            <w:tcW w:w="793" w:type="dxa"/>
          </w:tcPr>
          <w:p>
            <w:pPr>
              <w:pStyle w:val="Compact"/>
              <w:jc w:val="left"/>
            </w:pPr>
            <w:r>
              <w:rPr>
                <w:sz w:val="17"/>
              </w:rPr>
              <w:t xml:space="preserve">E3</w:t>
            </w:r>
          </w:p>
        </w:tc>
        <w:tc>
          <w:tcPr>
            <w:tcW w:w="1927" w:type="dxa"/>
          </w:tcPr>
          <w:p>
            <w:pPr>
              <w:pStyle w:val="Compact"/>
              <w:jc w:val="left"/>
            </w:pPr>
            <w:r>
              <w:rPr>
                <w:sz w:val="17"/>
              </w:rPr>
              <w:t xml:space="preserve">SHAP mistakes leakage for insight; top features are module IDs</w:t>
            </w:r>
          </w:p>
        </w:tc>
        <w:tc>
          <w:tcPr>
            <w:tcW w:w="1701" w:type="dxa"/>
          </w:tcPr>
          <w:p>
            <w:pPr>
              <w:pStyle w:val="Compact"/>
              <w:jc w:val="left"/>
            </w:pPr>
            <w:r>
              <w:rPr>
                <w:sz w:val="17"/>
              </w:rPr>
              <w:t xml:space="preserve">SHAP re-run; no demographic or module feature in the top 20</w:t>
            </w:r>
          </w:p>
        </w:tc>
        <w:tc>
          <w:tcPr>
            <w:tcW w:w="1134" w:type="dxa"/>
          </w:tcPr>
          <w:p>
            <w:pPr>
              <w:pStyle w:val="Compact"/>
              <w:jc w:val="left"/>
            </w:pPr>
            <w:r>
              <w:rPr>
                <w:sz w:val="17"/>
              </w:rPr>
              <w:t xml:space="preserve">Yes (SHAP)</w:t>
            </w:r>
          </w:p>
        </w:tc>
        <w:tc>
          <w:tcPr>
            <w:tcW w:w="1474" w:type="dxa"/>
          </w:tcPr>
          <w:p>
            <w:pPr>
              <w:pStyle w:val="Compact"/>
              <w:jc w:val="left"/>
            </w:pPr>
            <w:r>
              <w:rPr>
                <w:sz w:val="17"/>
              </w:rPr>
              <w:t xml:space="preserve">§4.7, Fig. 5; §4.8, Fig. 6</w:t>
            </w:r>
          </w:p>
        </w:tc>
        <w:tc>
          <w:tcPr>
            <w:tcW w:w="1304" w:type="dxa"/>
            <w:shd w:val="clear" w:fill="FFEB9C"/>
          </w:tcPr>
          <w:p>
            <w:pPr>
              <w:pStyle w:val="Compact"/>
              <w:jc w:val="left"/>
            </w:pPr>
            <w:r>
              <w:rPr>
                <w:b/>
                <w:sz w:val="17"/>
              </w:rPr>
              <w:t xml:space="preserve">PARTIALLY ADDRESSED</w:t>
            </w:r>
          </w:p>
        </w:tc>
        <w:tc>
          <w:tcPr>
            <w:tcW w:w="3402" w:type="dxa"/>
          </w:tcPr>
          <w:p>
            <w:pPr>
              <w:pStyle w:val="Compact"/>
              <w:jc w:val="left"/>
            </w:pPr>
            <w:r>
              <w:rPr>
                <w:sz w:val="17"/>
              </w:rPr>
              <w:t xml:space="preserve">The SHAP claim is verified. LIME shows module indicators, which the response does not mention. The top features (r_cur, logB) are the same quantities that define the label, so part of the signal may be regression to the mean. A persistence baseline is needed to rule this out.</w:t>
            </w:r>
          </w:p>
        </w:tc>
        <w:tc>
          <w:tcPr>
            <w:tcW w:w="3061" w:type="dxa"/>
          </w:tcPr>
          <w:p>
            <w:pPr>
              <w:pStyle w:val="Compact"/>
              <w:jc w:val="left"/>
            </w:pPr>
            <w:r>
              <w:rPr>
                <w:sz w:val="17"/>
              </w:rPr>
              <w:t xml:space="preserve">Add a logistic baseline on D_cur(t) and logB(t) only. Discuss the module indicators in LIME.</w:t>
            </w:r>
          </w:p>
        </w:tc>
      </w:tr>
      <w:tr>
        <w:tc>
          <w:tcPr>
            <w:tcW w:w="793" w:type="dxa"/>
          </w:tcPr>
          <w:p>
            <w:pPr>
              <w:pStyle w:val="Compact"/>
              <w:jc w:val="left"/>
            </w:pPr>
            <w:r>
              <w:rPr>
                <w:sz w:val="17"/>
              </w:rPr>
              <w:t xml:space="preserve">E4</w:t>
            </w:r>
          </w:p>
        </w:tc>
        <w:tc>
          <w:tcPr>
            <w:tcW w:w="1927" w:type="dxa"/>
          </w:tcPr>
          <w:p>
            <w:pPr>
              <w:pStyle w:val="Compact"/>
              <w:jc w:val="left"/>
            </w:pPr>
            <w:r>
              <w:rPr>
                <w:sz w:val="17"/>
              </w:rPr>
              <w:t xml:space="preserve">Severe formatting and typographical errors in formulas</w:t>
            </w:r>
          </w:p>
        </w:tc>
        <w:tc>
          <w:tcPr>
            <w:tcW w:w="1701" w:type="dxa"/>
          </w:tcPr>
          <w:p>
            <w:pPr>
              <w:pStyle w:val="Compact"/>
              <w:jc w:val="left"/>
            </w:pPr>
            <w:r>
              <w:rPr>
                <w:sz w:val="17"/>
              </w:rPr>
              <w:t xml:space="preserve">All equations rewritten (Eqs. 1–19)</w:t>
            </w:r>
          </w:p>
        </w:tc>
        <w:tc>
          <w:tcPr>
            <w:tcW w:w="1134" w:type="dxa"/>
          </w:tcPr>
          <w:p>
            <w:pPr>
              <w:pStyle w:val="Compact"/>
              <w:jc w:val="left"/>
            </w:pPr>
            <w:r>
              <w:rPr>
                <w:sz w:val="17"/>
              </w:rPr>
              <w:t xml:space="preserve">Partly</w:t>
            </w:r>
          </w:p>
        </w:tc>
        <w:tc>
          <w:tcPr>
            <w:tcW w:w="1474" w:type="dxa"/>
          </w:tcPr>
          <w:p>
            <w:pPr>
              <w:pStyle w:val="Compact"/>
              <w:jc w:val="left"/>
            </w:pPr>
            <w:r>
              <w:rPr>
                <w:sz w:val="17"/>
              </w:rPr>
              <w:t xml:space="preserve">§3.2–3.5, §4.2</w:t>
            </w:r>
          </w:p>
        </w:tc>
        <w:tc>
          <w:tcPr>
            <w:tcW w:w="1304" w:type="dxa"/>
            <w:shd w:val="clear" w:fill="FFEB9C"/>
          </w:tcPr>
          <w:p>
            <w:pPr>
              <w:pStyle w:val="Compact"/>
              <w:jc w:val="left"/>
            </w:pPr>
            <w:r>
              <w:rPr>
                <w:b/>
                <w:sz w:val="17"/>
              </w:rPr>
              <w:t xml:space="preserve">PARTIALLY ADDRESSED</w:t>
            </w:r>
          </w:p>
        </w:tc>
        <w:tc>
          <w:tcPr>
            <w:tcW w:w="3402" w:type="dxa"/>
          </w:tcPr>
          <w:p>
            <w:pPr>
              <w:pStyle w:val="Compact"/>
              <w:jc w:val="left"/>
            </w:pPr>
            <w:r>
              <w:rPr>
                <w:sz w:val="17"/>
              </w:rPr>
              <w:t xml:space="preserve">§3.5 text says</w:t>
            </w:r>
            <w:r>
              <w:rPr>
                <w:sz w:val="17"/>
              </w:rPr>
              <w:t xml:space="preserve"> </w:t>
            </w:r>
            <w:r>
              <w:rPr>
                <w:sz w:val="17"/>
              </w:rPr>
              <w:t xml:space="preserve">“</w:t>
            </w:r>
            <w:r>
              <w:rPr>
                <w:sz w:val="17"/>
              </w:rPr>
              <w:t xml:space="preserve">a single logit , which</w:t>
            </w:r>
            <w:r>
              <w:rPr>
                <w:sz w:val="17"/>
              </w:rPr>
              <w:t xml:space="preserve">”</w:t>
            </w:r>
            <w:r>
              <w:rPr>
                <w:sz w:val="17"/>
              </w:rPr>
              <w:t xml:space="preserve"> </w:t>
            </w:r>
            <w:r>
              <w:rPr>
                <w:sz w:val="17"/>
              </w:rPr>
              <w:t xml:space="preserve">(z_t missing). Eq. 10 text calls the true label</w:t>
            </w:r>
            <w:r>
              <w:rPr>
                <w:sz w:val="17"/>
              </w:rPr>
              <w:t xml:space="preserve"> </w:t>
            </w:r>
            <w:r>
              <w:rPr>
                <w:sz w:val="17"/>
              </w:rPr>
              <w:t xml:space="preserve">“</w:t>
            </w:r>
            <w:r>
              <w:rPr>
                <w:sz w:val="17"/>
              </w:rPr>
              <w:t xml:space="preserve">ŷt</w:t>
            </w:r>
            <w:r>
              <w:rPr>
                <w:sz w:val="17"/>
              </w:rPr>
              <w:t xml:space="preserve">”</w:t>
            </w:r>
            <w:r>
              <w:rPr>
                <w:sz w:val="17"/>
              </w:rPr>
              <w:t xml:space="preserve"> </w:t>
            </w:r>
            <w:r>
              <w:rPr>
                <w:sz w:val="17"/>
              </w:rPr>
              <w:t xml:space="preserve">instead of y_t. d_t in Eq. 13 and W_t in Eq. 5 are undefined. L_δ and D_cur are unnumbered. The extracted Eq. 1 shows no floor, so check it in Word.</w:t>
            </w:r>
          </w:p>
        </w:tc>
        <w:tc>
          <w:tcPr>
            <w:tcW w:w="3061" w:type="dxa"/>
          </w:tcPr>
          <w:p>
            <w:pPr>
              <w:pStyle w:val="Compact"/>
              <w:jc w:val="left"/>
            </w:pPr>
            <w:r>
              <w:rPr>
                <w:sz w:val="17"/>
              </w:rPr>
              <w:t xml:space="preserve">Fix symbols. Number every display equation. Define every symbol.</w:t>
            </w:r>
          </w:p>
        </w:tc>
      </w:tr>
      <w:tr>
        <w:tc>
          <w:tcPr>
            <w:tcW w:w="793" w:type="dxa"/>
          </w:tcPr>
          <w:p>
            <w:pPr>
              <w:pStyle w:val="Compact"/>
              <w:jc w:val="left"/>
            </w:pPr>
            <w:r>
              <w:rPr>
                <w:sz w:val="17"/>
              </w:rPr>
              <w:t xml:space="preserve">R1-1.1</w:t>
            </w:r>
          </w:p>
        </w:tc>
        <w:tc>
          <w:tcPr>
            <w:tcW w:w="1927" w:type="dxa"/>
          </w:tcPr>
          <w:p>
            <w:pPr>
              <w:pStyle w:val="Compact"/>
              <w:jc w:val="left"/>
            </w:pPr>
            <w:r>
              <w:rPr>
                <w:sz w:val="17"/>
              </w:rPr>
              <w:t xml:space="preserve">22 labels, not 28,497; use group or temporal (2013→2014) evaluation</w:t>
            </w:r>
          </w:p>
        </w:tc>
        <w:tc>
          <w:tcPr>
            <w:tcW w:w="1701" w:type="dxa"/>
          </w:tcPr>
          <w:p>
            <w:pPr>
              <w:pStyle w:val="Compact"/>
              <w:jc w:val="left"/>
            </w:pPr>
            <w:r>
              <w:rPr>
                <w:sz w:val="17"/>
              </w:rPr>
              <w:t xml:space="preserve">Label sharing removed; temporal split not adopted; Editor’s guidance requested</w:t>
            </w:r>
          </w:p>
        </w:tc>
        <w:tc>
          <w:tcPr>
            <w:tcW w:w="1134" w:type="dxa"/>
          </w:tcPr>
          <w:p>
            <w:pPr>
              <w:pStyle w:val="Compact"/>
              <w:jc w:val="left"/>
            </w:pPr>
            <w:r>
              <w:rPr>
                <w:sz w:val="17"/>
              </w:rPr>
              <w:t xml:space="preserve">Label fix yes; temporal split no</w:t>
            </w:r>
          </w:p>
        </w:tc>
        <w:tc>
          <w:tcPr>
            <w:tcW w:w="1474" w:type="dxa"/>
          </w:tcPr>
          <w:p>
            <w:pPr>
              <w:pStyle w:val="Compact"/>
              <w:jc w:val="left"/>
            </w:pPr>
            <w:r>
              <w:rPr>
                <w:sz w:val="17"/>
              </w:rPr>
              <w:t xml:space="preserve">§3.1; Limitations</w:t>
            </w:r>
          </w:p>
        </w:tc>
        <w:tc>
          <w:tcPr>
            <w:tcW w:w="1304" w:type="dxa"/>
            <w:shd w:val="clear" w:fill="FFEB9C"/>
          </w:tcPr>
          <w:p>
            <w:pPr>
              <w:pStyle w:val="Compact"/>
              <w:jc w:val="left"/>
            </w:pPr>
            <w:r>
              <w:rPr>
                <w:b/>
                <w:sz w:val="17"/>
              </w:rPr>
              <w:t xml:space="preserve">PARTIALLY ADDRESSED</w:t>
            </w:r>
          </w:p>
        </w:tc>
        <w:tc>
          <w:tcPr>
            <w:tcW w:w="3402" w:type="dxa"/>
          </w:tcPr>
          <w:p>
            <w:pPr>
              <w:pStyle w:val="Compact"/>
              <w:jc w:val="left"/>
            </w:pPr>
            <w:r>
              <w:rPr>
                <w:sz w:val="17"/>
              </w:rPr>
              <w:t xml:space="preserve">The reviewer’s strongest requested fix was not done. Asking the editor whether it is needed invites another round of review. OULAD supports a 2013B/J → 2014B/J split without new data.</w:t>
            </w:r>
          </w:p>
        </w:tc>
        <w:tc>
          <w:tcPr>
            <w:tcW w:w="3061" w:type="dxa"/>
          </w:tcPr>
          <w:p>
            <w:pPr>
              <w:pStyle w:val="Compact"/>
              <w:jc w:val="left"/>
            </w:pPr>
            <w:r>
              <w:rPr>
                <w:sz w:val="17"/>
              </w:rPr>
              <w:t xml:space="preserve">Run the presentation-held-out temporal split and report it as a supplementary table.</w:t>
            </w:r>
          </w:p>
        </w:tc>
      </w:tr>
      <w:tr>
        <w:tc>
          <w:tcPr>
            <w:tcW w:w="793" w:type="dxa"/>
          </w:tcPr>
          <w:p>
            <w:pPr>
              <w:pStyle w:val="Compact"/>
              <w:jc w:val="left"/>
            </w:pPr>
            <w:r>
              <w:rPr>
                <w:sz w:val="17"/>
              </w:rPr>
              <w:t xml:space="preserve">R1-1.2</w:t>
            </w:r>
          </w:p>
        </w:tc>
        <w:tc>
          <w:tcPr>
            <w:tcW w:w="1927" w:type="dxa"/>
          </w:tcPr>
          <w:p>
            <w:pPr>
              <w:pStyle w:val="Compact"/>
              <w:jc w:val="left"/>
            </w:pPr>
            <w:r>
              <w:rPr>
                <w:sz w:val="17"/>
              </w:rPr>
              <w:t xml:space="preserve">Full feature table, index formulae, date_unregistration, negative dates, banked scores</w:t>
            </w:r>
          </w:p>
        </w:tc>
        <w:tc>
          <w:tcPr>
            <w:tcW w:w="1701" w:type="dxa"/>
          </w:tcPr>
          <w:p>
            <w:pPr>
              <w:pStyle w:val="Compact"/>
              <w:jc w:val="left"/>
            </w:pPr>
            <w:r>
              <w:rPr>
                <w:sz w:val="17"/>
              </w:rPr>
              <w:t xml:space="preserve">Resolved; features listed by group</w:t>
            </w:r>
          </w:p>
        </w:tc>
        <w:tc>
          <w:tcPr>
            <w:tcW w:w="1134" w:type="dxa"/>
          </w:tcPr>
          <w:p>
            <w:pPr>
              <w:pStyle w:val="Compact"/>
              <w:jc w:val="left"/>
            </w:pPr>
            <w:r>
              <w:rPr>
                <w:sz w:val="17"/>
              </w:rPr>
              <w:t xml:space="preserve">Partly</w:t>
            </w:r>
          </w:p>
        </w:tc>
        <w:tc>
          <w:tcPr>
            <w:tcW w:w="1474" w:type="dxa"/>
          </w:tcPr>
          <w:p>
            <w:pPr>
              <w:pStyle w:val="Compact"/>
              <w:jc w:val="left"/>
            </w:pPr>
            <w:r>
              <w:rPr>
                <w:sz w:val="17"/>
              </w:rPr>
              <w:t xml:space="preserve">§3.1–3.3; Table 3 group sizes</w:t>
            </w:r>
          </w:p>
        </w:tc>
        <w:tc>
          <w:tcPr>
            <w:tcW w:w="1304" w:type="dxa"/>
            <w:shd w:val="clear" w:fill="FFEB9C"/>
          </w:tcPr>
          <w:p>
            <w:pPr>
              <w:pStyle w:val="Compact"/>
              <w:jc w:val="left"/>
            </w:pPr>
            <w:r>
              <w:rPr>
                <w:b/>
                <w:sz w:val="17"/>
              </w:rPr>
              <w:t xml:space="preserve">PARTIALLY ADDRESSED</w:t>
            </w:r>
          </w:p>
        </w:tc>
        <w:tc>
          <w:tcPr>
            <w:tcW w:w="3402" w:type="dxa"/>
          </w:tcPr>
          <w:p>
            <w:pPr>
              <w:pStyle w:val="Compact"/>
              <w:jc w:val="left"/>
            </w:pPr>
            <w:r>
              <w:rPr>
                <w:sz w:val="17"/>
              </w:rPr>
              <w:t xml:space="preserve">The word</w:t>
            </w:r>
            <w:r>
              <w:rPr>
                <w:sz w:val="17"/>
              </w:rPr>
              <w:t xml:space="preserve"> </w:t>
            </w:r>
            <w:r>
              <w:rPr>
                <w:sz w:val="17"/>
              </w:rPr>
              <w:t xml:space="preserve">“</w:t>
            </w:r>
            <w:r>
              <w:rPr>
                <w:sz w:val="17"/>
              </w:rPr>
              <w:t xml:space="preserve">banked</w:t>
            </w:r>
            <w:r>
              <w:rPr>
                <w:sz w:val="17"/>
              </w:rPr>
              <w:t xml:space="preserve">”</w:t>
            </w:r>
            <w:r>
              <w:rPr>
                <w:sz w:val="17"/>
              </w:rPr>
              <w:t xml:space="preserve"> </w:t>
            </w:r>
            <w:r>
              <w:rPr>
                <w:sz w:val="17"/>
              </w:rPr>
              <w:t xml:space="preserve">does not appear anywhere in the manuscript. date_unregistration is never named. No feature table exists (only prose and group counts; 82 and 34 do reconcile with Table 3). Pre-course clicks are handled (§3.2).</w:t>
            </w:r>
          </w:p>
        </w:tc>
        <w:tc>
          <w:tcPr>
            <w:tcW w:w="3061" w:type="dxa"/>
          </w:tcPr>
          <w:p>
            <w:pPr>
              <w:pStyle w:val="Compact"/>
              <w:jc w:val="left"/>
            </w:pPr>
            <w:r>
              <w:rPr>
                <w:sz w:val="17"/>
              </w:rPr>
              <w:t xml:space="preserve">Add a supplementary feature dictionary (S1). Add one sentence each on banked assessments and date_unregistration.</w:t>
            </w:r>
          </w:p>
        </w:tc>
      </w:tr>
      <w:tr>
        <w:tc>
          <w:tcPr>
            <w:tcW w:w="793" w:type="dxa"/>
          </w:tcPr>
          <w:p>
            <w:pPr>
              <w:pStyle w:val="Compact"/>
              <w:jc w:val="left"/>
            </w:pPr>
            <w:r>
              <w:rPr>
                <w:sz w:val="17"/>
              </w:rPr>
              <w:t xml:space="preserve">R1-1.3</w:t>
            </w:r>
          </w:p>
        </w:tc>
        <w:tc>
          <w:tcPr>
            <w:tcW w:w="1927" w:type="dxa"/>
          </w:tcPr>
          <w:p>
            <w:pPr>
              <w:pStyle w:val="Compact"/>
              <w:jc w:val="left"/>
            </w:pPr>
            <w:r>
              <w:rPr>
                <w:sz w:val="17"/>
              </w:rPr>
              <w:t xml:space="preserve">“</w:t>
            </w:r>
            <w:r>
              <w:rPr>
                <w:sz w:val="17"/>
              </w:rPr>
              <w:t xml:space="preserve">Curriculum stress</w:t>
            </w:r>
            <w:r>
              <w:rPr>
                <w:sz w:val="17"/>
              </w:rPr>
              <w:t xml:space="preserve">”</w:t>
            </w:r>
            <w:r>
              <w:rPr>
                <w:sz w:val="17"/>
              </w:rPr>
              <w:t xml:space="preserve"> </w:t>
            </w:r>
            <w:r>
              <w:rPr>
                <w:sz w:val="17"/>
              </w:rPr>
              <w:t xml:space="preserve">lacks validation; validate or rename</w:t>
            </w:r>
          </w:p>
        </w:tc>
        <w:tc>
          <w:tcPr>
            <w:tcW w:w="1701" w:type="dxa"/>
          </w:tcPr>
          <w:p>
            <w:pPr>
              <w:pStyle w:val="Compact"/>
              <w:jc w:val="left"/>
            </w:pPr>
            <w:r>
              <w:rPr>
                <w:sz w:val="17"/>
              </w:rPr>
              <w:t xml:space="preserve">Renamed to a behavioural target</w:t>
            </w:r>
          </w:p>
        </w:tc>
        <w:tc>
          <w:tcPr>
            <w:tcW w:w="1134" w:type="dxa"/>
          </w:tcPr>
          <w:p>
            <w:pPr>
              <w:pStyle w:val="Compact"/>
              <w:jc w:val="left"/>
            </w:pPr>
            <w:r>
              <w:rPr>
                <w:sz w:val="17"/>
              </w:rPr>
              <w:t xml:space="preserve">Yes</w:t>
            </w:r>
          </w:p>
        </w:tc>
        <w:tc>
          <w:tcPr>
            <w:tcW w:w="1474" w:type="dxa"/>
          </w:tcPr>
          <w:p>
            <w:pPr>
              <w:pStyle w:val="Compact"/>
              <w:jc w:val="left"/>
            </w:pPr>
            <w:r>
              <w:rPr>
                <w:sz w:val="17"/>
              </w:rPr>
              <w:t xml:space="preserve">Title, §3.3, §4.1</w:t>
            </w:r>
          </w:p>
        </w:tc>
        <w:tc>
          <w:tcPr>
            <w:tcW w:w="1304" w:type="dxa"/>
            <w:shd w:val="clear" w:fill="C6EFCE"/>
          </w:tcPr>
          <w:p>
            <w:pPr>
              <w:pStyle w:val="Compact"/>
              <w:jc w:val="left"/>
            </w:pPr>
            <w:r>
              <w:rPr>
                <w:b/>
                <w:sz w:val="17"/>
              </w:rPr>
              <w:t xml:space="preserve">FULLY ADDRESSED</w:t>
            </w:r>
          </w:p>
        </w:tc>
        <w:tc>
          <w:tcPr>
            <w:tcW w:w="3402" w:type="dxa"/>
          </w:tcPr>
          <w:p>
            <w:pPr>
              <w:pStyle w:val="Compact"/>
              <w:jc w:val="left"/>
            </w:pPr>
            <w:r>
              <w:rPr>
                <w:sz w:val="17"/>
              </w:rPr>
              <w:t xml:space="preserve">No stress/EEI/CSI wording remains. The abstract, Aim and Conclusion still say</w:t>
            </w:r>
            <w:r>
              <w:rPr>
                <w:sz w:val="17"/>
              </w:rPr>
              <w:t xml:space="preserve"> </w:t>
            </w:r>
            <w:r>
              <w:rPr>
                <w:sz w:val="17"/>
              </w:rPr>
              <w:t xml:space="preserve">“</w:t>
            </w:r>
            <w:r>
              <w:rPr>
                <w:sz w:val="17"/>
              </w:rPr>
              <w:t xml:space="preserve">more than 10% below</w:t>
            </w:r>
            <w:r>
              <w:rPr>
                <w:sz w:val="17"/>
              </w:rPr>
              <w:t xml:space="preserve">”</w:t>
            </w:r>
            <w:r>
              <w:rPr>
                <w:sz w:val="17"/>
              </w:rPr>
              <w:t xml:space="preserve">, which conflicts with the add-one log-ratio caveat in §3.3.</w:t>
            </w:r>
          </w:p>
        </w:tc>
        <w:tc>
          <w:tcPr>
            <w:tcW w:w="3061" w:type="dxa"/>
          </w:tcPr>
          <w:p>
            <w:pPr>
              <w:pStyle w:val="Compact"/>
              <w:jc w:val="left"/>
            </w:pPr>
            <w:r>
              <w:rPr>
                <w:sz w:val="17"/>
              </w:rPr>
              <w:t xml:space="preserve">Align the wording (see Section 5, item 11).</w:t>
            </w:r>
          </w:p>
        </w:tc>
      </w:tr>
      <w:tr>
        <w:tc>
          <w:tcPr>
            <w:tcW w:w="793" w:type="dxa"/>
          </w:tcPr>
          <w:p>
            <w:pPr>
              <w:pStyle w:val="Compact"/>
              <w:jc w:val="left"/>
            </w:pPr>
            <w:r>
              <w:rPr>
                <w:sz w:val="17"/>
              </w:rPr>
              <w:t xml:space="preserve">R1-2.1</w:t>
            </w:r>
          </w:p>
        </w:tc>
        <w:tc>
          <w:tcPr>
            <w:tcW w:w="1927" w:type="dxa"/>
          </w:tcPr>
          <w:p>
            <w:pPr>
              <w:pStyle w:val="Compact"/>
              <w:jc w:val="left"/>
            </w:pPr>
            <w:r>
              <w:rPr>
                <w:sz w:val="17"/>
              </w:rPr>
              <w:t xml:space="preserve">No split described; early-prediction claim untested</w:t>
            </w:r>
          </w:p>
        </w:tc>
        <w:tc>
          <w:tcPr>
            <w:tcW w:w="1701" w:type="dxa"/>
          </w:tcPr>
          <w:p>
            <w:pPr>
              <w:pStyle w:val="Compact"/>
              <w:jc w:val="left"/>
            </w:pPr>
            <w:r>
              <w:rPr>
                <w:sz w:val="17"/>
              </w:rPr>
              <w:t xml:space="preserve">Split specified; truncation curve not added</w:t>
            </w:r>
          </w:p>
        </w:tc>
        <w:tc>
          <w:tcPr>
            <w:tcW w:w="1134" w:type="dxa"/>
          </w:tcPr>
          <w:p>
            <w:pPr>
              <w:pStyle w:val="Compact"/>
              <w:jc w:val="left"/>
            </w:pPr>
            <w:r>
              <w:rPr>
                <w:sz w:val="17"/>
              </w:rPr>
              <w:t xml:space="preserve">Split yes; curve no</w:t>
            </w:r>
          </w:p>
        </w:tc>
        <w:tc>
          <w:tcPr>
            <w:tcW w:w="1474" w:type="dxa"/>
          </w:tcPr>
          <w:p>
            <w:pPr>
              <w:pStyle w:val="Compact"/>
              <w:jc w:val="left"/>
            </w:pPr>
            <w:r>
              <w:rPr>
                <w:sz w:val="17"/>
              </w:rPr>
              <w:t xml:space="preserve">§3.1, Table 2, §4.1</w:t>
            </w:r>
          </w:p>
        </w:tc>
        <w:tc>
          <w:tcPr>
            <w:tcW w:w="1304" w:type="dxa"/>
            <w:shd w:val="clear" w:fill="FFEB9C"/>
          </w:tcPr>
          <w:p>
            <w:pPr>
              <w:pStyle w:val="Compact"/>
              <w:jc w:val="left"/>
            </w:pPr>
            <w:r>
              <w:rPr>
                <w:b/>
                <w:sz w:val="17"/>
              </w:rPr>
              <w:t xml:space="preserve">PARTIALLY ADDRESSED</w:t>
            </w:r>
          </w:p>
        </w:tc>
        <w:tc>
          <w:tcPr>
            <w:tcW w:w="3402" w:type="dxa"/>
          </w:tcPr>
          <w:p>
            <w:pPr>
              <w:pStyle w:val="Compact"/>
              <w:jc w:val="left"/>
            </w:pPr>
            <w:r>
              <w:rPr>
                <w:sz w:val="17"/>
              </w:rPr>
              <w:t xml:space="preserve">Table 2 arithmetic is verified (rows, classes and enrollments all sum correctly). Requirement 5 (week-k truncation curve) is missing. The paper still frames the model as</w:t>
            </w:r>
            <w:r>
              <w:rPr>
                <w:sz w:val="17"/>
              </w:rPr>
              <w:t xml:space="preserve"> </w:t>
            </w:r>
            <w:r>
              <w:rPr>
                <w:sz w:val="17"/>
              </w:rPr>
              <w:t xml:space="preserve">“</w:t>
            </w:r>
            <w:r>
              <w:rPr>
                <w:sz w:val="17"/>
              </w:rPr>
              <w:t xml:space="preserve">early warning</w:t>
            </w:r>
            <w:r>
              <w:rPr>
                <w:sz w:val="17"/>
              </w:rPr>
              <w:t xml:space="preserve">”</w:t>
            </w:r>
            <w:r>
              <w:rPr>
                <w:sz w:val="17"/>
              </w:rPr>
              <w:t xml:space="preserve"> </w:t>
            </w:r>
            <w:r>
              <w:rPr>
                <w:sz w:val="17"/>
              </w:rPr>
              <w:t xml:space="preserve">(§4.2).</w:t>
            </w:r>
          </w:p>
        </w:tc>
        <w:tc>
          <w:tcPr>
            <w:tcW w:w="3061" w:type="dxa"/>
          </w:tcPr>
          <w:p>
            <w:pPr>
              <w:pStyle w:val="Compact"/>
              <w:jc w:val="left"/>
            </w:pPr>
            <w:r>
              <w:rPr>
                <w:sz w:val="17"/>
              </w:rPr>
              <w:t xml:space="preserve">Add PR-AUC by history length (3–4, 5–8, 9–16, 17+). The groups already exist for temperature scaling.</w:t>
            </w:r>
          </w:p>
        </w:tc>
      </w:tr>
      <w:tr>
        <w:tc>
          <w:tcPr>
            <w:tcW w:w="793" w:type="dxa"/>
          </w:tcPr>
          <w:p>
            <w:pPr>
              <w:pStyle w:val="Compact"/>
              <w:jc w:val="left"/>
            </w:pPr>
            <w:r>
              <w:rPr>
                <w:sz w:val="17"/>
              </w:rPr>
              <w:t xml:space="preserve">R1-2.2</w:t>
            </w:r>
          </w:p>
        </w:tc>
        <w:tc>
          <w:tcPr>
            <w:tcW w:w="1927" w:type="dxa"/>
          </w:tcPr>
          <w:p>
            <w:pPr>
              <w:pStyle w:val="Compact"/>
              <w:jc w:val="left"/>
            </w:pPr>
            <w:r>
              <w:rPr>
                <w:sz w:val="17"/>
              </w:rPr>
              <w:t xml:space="preserve">Headline numbers are best of four seeds chosen on test</w:t>
            </w:r>
          </w:p>
        </w:tc>
        <w:tc>
          <w:tcPr>
            <w:tcW w:w="1701" w:type="dxa"/>
          </w:tcPr>
          <w:p>
            <w:pPr>
              <w:pStyle w:val="Compact"/>
              <w:jc w:val="left"/>
            </w:pPr>
            <w:r>
              <w:rPr>
                <w:sz w:val="17"/>
              </w:rPr>
              <w:t xml:space="preserve">All headline numbers are mean ± SD over ten seeds</w:t>
            </w:r>
          </w:p>
        </w:tc>
        <w:tc>
          <w:tcPr>
            <w:tcW w:w="1134" w:type="dxa"/>
          </w:tcPr>
          <w:p>
            <w:pPr>
              <w:pStyle w:val="Compact"/>
              <w:jc w:val="left"/>
            </w:pPr>
            <w:r>
              <w:rPr>
                <w:sz w:val="17"/>
              </w:rPr>
              <w:t xml:space="preserve">Partly</w:t>
            </w:r>
          </w:p>
        </w:tc>
        <w:tc>
          <w:tcPr>
            <w:tcW w:w="1474" w:type="dxa"/>
          </w:tcPr>
          <w:p>
            <w:pPr>
              <w:pStyle w:val="Compact"/>
              <w:jc w:val="left"/>
            </w:pPr>
            <w:r>
              <w:rPr>
                <w:sz w:val="17"/>
              </w:rPr>
              <w:t xml:space="preserve">Tables 9–10 (10 seeds); Tables 1, 5, 6, 7, 8, Figs. 3–4, §3.5, §4.3, Conclusion (3 seeds)</w:t>
            </w:r>
          </w:p>
        </w:tc>
        <w:tc>
          <w:tcPr>
            <w:tcW w:w="1304" w:type="dxa"/>
            <w:shd w:val="clear" w:fill="FFEB9C"/>
          </w:tcPr>
          <w:p>
            <w:pPr>
              <w:pStyle w:val="Compact"/>
              <w:jc w:val="left"/>
            </w:pPr>
            <w:r>
              <w:rPr>
                <w:b/>
                <w:sz w:val="17"/>
              </w:rPr>
              <w:t xml:space="preserve">PARTIALLY ADDRESSED</w:t>
            </w:r>
          </w:p>
        </w:tc>
        <w:tc>
          <w:tcPr>
            <w:tcW w:w="3402" w:type="dxa"/>
          </w:tcPr>
          <w:p>
            <w:pPr>
              <w:pStyle w:val="Compact"/>
              <w:jc w:val="left"/>
            </w:pPr>
            <w:r>
              <w:rPr>
                <w:sz w:val="17"/>
              </w:rPr>
              <w:t xml:space="preserve">The manuscript mixes 3-seed and 10-seed results. Table 7 (F1 0.7188, precision 0.7395) differs from Table 9 (0.7181, 0.7409). Table 7 PR-AUC SD = 0.0000 against 0.0005 in Table 9. The Conclusion reports 3-seed values. Table 5 lists seeds 42–44, while §4.1 says 42–51.</w:t>
            </w:r>
          </w:p>
        </w:tc>
        <w:tc>
          <w:tcPr>
            <w:tcW w:w="3061" w:type="dxa"/>
          </w:tcPr>
          <w:p>
            <w:pPr>
              <w:pStyle w:val="Compact"/>
              <w:jc w:val="left"/>
            </w:pPr>
            <w:r>
              <w:rPr>
                <w:sz w:val="17"/>
              </w:rPr>
              <w:t xml:space="preserve">Regenerate Tables 6–8 and Figs. 3–4 with ten seeds. Fix every 3-seed reference.</w:t>
            </w:r>
          </w:p>
        </w:tc>
      </w:tr>
      <w:tr>
        <w:tc>
          <w:tcPr>
            <w:tcW w:w="793" w:type="dxa"/>
          </w:tcPr>
          <w:p>
            <w:pPr>
              <w:pStyle w:val="Compact"/>
              <w:jc w:val="left"/>
            </w:pPr>
            <w:r>
              <w:rPr>
                <w:sz w:val="17"/>
              </w:rPr>
              <w:t xml:space="preserve">R1-2.3</w:t>
            </w:r>
          </w:p>
        </w:tc>
        <w:tc>
          <w:tcPr>
            <w:tcW w:w="1927" w:type="dxa"/>
          </w:tcPr>
          <w:p>
            <w:pPr>
              <w:pStyle w:val="Compact"/>
              <w:jc w:val="left"/>
            </w:pPr>
            <w:r>
              <w:rPr>
                <w:sz w:val="17"/>
              </w:rPr>
              <w:t xml:space="preserve">Statistics don’t reconcile; CIs miscalculated; Wilcoxon p &lt; 0.001 impossible at n = 4</w:t>
            </w:r>
          </w:p>
        </w:tc>
        <w:tc>
          <w:tcPr>
            <w:tcW w:w="1701" w:type="dxa"/>
          </w:tcPr>
          <w:p>
            <w:pPr>
              <w:pStyle w:val="Compact"/>
              <w:jc w:val="left"/>
            </w:pPr>
            <w:r>
              <w:rPr>
                <w:sz w:val="17"/>
              </w:rPr>
              <w:t xml:space="preserve">Table 11 reports pairing unit, n, statistic, raw p, Holm p and r</w:t>
            </w:r>
          </w:p>
        </w:tc>
        <w:tc>
          <w:tcPr>
            <w:tcW w:w="1134" w:type="dxa"/>
          </w:tcPr>
          <w:p>
            <w:pPr>
              <w:pStyle w:val="Compact"/>
              <w:jc w:val="left"/>
            </w:pPr>
            <w:r>
              <w:rPr>
                <w:sz w:val="17"/>
              </w:rPr>
              <w:t xml:space="preserve">Partly</w:t>
            </w:r>
          </w:p>
        </w:tc>
        <w:tc>
          <w:tcPr>
            <w:tcW w:w="1474" w:type="dxa"/>
          </w:tcPr>
          <w:p>
            <w:pPr>
              <w:pStyle w:val="Compact"/>
              <w:jc w:val="left"/>
            </w:pPr>
            <w:r>
              <w:rPr>
                <w:sz w:val="17"/>
              </w:rPr>
              <w:t xml:space="preserve">§4.6.1, Table 11</w:t>
            </w:r>
          </w:p>
        </w:tc>
        <w:tc>
          <w:tcPr>
            <w:tcW w:w="1304" w:type="dxa"/>
            <w:shd w:val="clear" w:fill="FFEB9C"/>
          </w:tcPr>
          <w:p>
            <w:pPr>
              <w:pStyle w:val="Compact"/>
              <w:jc w:val="left"/>
            </w:pPr>
            <w:r>
              <w:rPr>
                <w:b/>
                <w:sz w:val="17"/>
              </w:rPr>
              <w:t xml:space="preserve">PARTIALLY ADDRESSED (new error introduced)</w:t>
            </w:r>
          </w:p>
        </w:tc>
        <w:tc>
          <w:tcPr>
            <w:tcW w:w="3402" w:type="dxa"/>
          </w:tcPr>
          <w:p>
            <w:pPr>
              <w:pStyle w:val="Compact"/>
              <w:jc w:val="left"/>
            </w:pPr>
            <w:r>
              <w:rPr>
                <w:sz w:val="17"/>
              </w:rPr>
              <w:t xml:space="preserve">(a) Table 11 contains no raw p and no test statistic W. (b) Holm p = 0.117 equals 60 × 0.00195, not 36 × 0.00195 (= 0.070). (c) At n = 10 with 36 tests, no comparison can reach p &lt; 0.05; §4.6 and Limitations still claim</w:t>
            </w:r>
            <w:r>
              <w:rPr>
                <w:sz w:val="17"/>
              </w:rPr>
              <w:t xml:space="preserve"> </w:t>
            </w:r>
            <w:r>
              <w:rPr>
                <w:sz w:val="17"/>
              </w:rPr>
              <w:t xml:space="preserve">“</w:t>
            </w:r>
            <w:r>
              <w:rPr>
                <w:sz w:val="17"/>
              </w:rPr>
              <w:t xml:space="preserve">statistically significant</w:t>
            </w:r>
            <w:r>
              <w:rPr>
                <w:sz w:val="17"/>
              </w:rPr>
              <w:t xml:space="preserve">”</w:t>
            </w:r>
            <w:r>
              <w:rPr>
                <w:sz w:val="17"/>
              </w:rPr>
              <w:t xml:space="preserve">, which is false. (d) §4.3 mentions a bootstrap CI that is reported nowhere. (e) §4.6.1 omits A3 from its ablation summary.</w:t>
            </w:r>
          </w:p>
        </w:tc>
        <w:tc>
          <w:tcPr>
            <w:tcW w:w="3061" w:type="dxa"/>
          </w:tcPr>
          <w:p>
            <w:pPr>
              <w:pStyle w:val="Compact"/>
              <w:jc w:val="left"/>
            </w:pPr>
            <w:r>
              <w:rPr>
                <w:sz w:val="17"/>
              </w:rPr>
              <w:t xml:space="preserve">Restructure the test family, recompute, and remove the significance claims (see Section 5, item 7).</w:t>
            </w:r>
          </w:p>
        </w:tc>
      </w:tr>
      <w:tr>
        <w:tc>
          <w:tcPr>
            <w:tcW w:w="793" w:type="dxa"/>
          </w:tcPr>
          <w:p>
            <w:pPr>
              <w:pStyle w:val="Compact"/>
              <w:jc w:val="left"/>
            </w:pPr>
            <w:r>
              <w:rPr>
                <w:sz w:val="17"/>
              </w:rPr>
              <w:t xml:space="preserve">R1-2.4</w:t>
            </w:r>
          </w:p>
        </w:tc>
        <w:tc>
          <w:tcPr>
            <w:tcW w:w="1927" w:type="dxa"/>
          </w:tcPr>
          <w:p>
            <w:pPr>
              <w:pStyle w:val="Compact"/>
              <w:jc w:val="left"/>
            </w:pPr>
            <w:r>
              <w:rPr>
                <w:sz w:val="17"/>
              </w:rPr>
              <w:t xml:space="preserve">Inappropriate comparators; add GBM/RF/ridge; correct DAKTN MAE claim</w:t>
            </w:r>
          </w:p>
        </w:tc>
        <w:tc>
          <w:tcPr>
            <w:tcW w:w="1701" w:type="dxa"/>
          </w:tcPr>
          <w:p>
            <w:pPr>
              <w:pStyle w:val="Compact"/>
              <w:jc w:val="left"/>
            </w:pPr>
            <w:r>
              <w:rPr>
                <w:sz w:val="17"/>
              </w:rPr>
              <w:t xml:space="preserve">KT models removed; XGB/LGBM/RF/L2-LR added with equal tuning budget</w:t>
            </w:r>
          </w:p>
        </w:tc>
        <w:tc>
          <w:tcPr>
            <w:tcW w:w="1134" w:type="dxa"/>
          </w:tcPr>
          <w:p>
            <w:pPr>
              <w:pStyle w:val="Compact"/>
              <w:jc w:val="left"/>
            </w:pPr>
            <w:r>
              <w:rPr>
                <w:sz w:val="17"/>
              </w:rPr>
              <w:t xml:space="preserve">Baselines yes; budget no</w:t>
            </w:r>
          </w:p>
        </w:tc>
        <w:tc>
          <w:tcPr>
            <w:tcW w:w="1474" w:type="dxa"/>
          </w:tcPr>
          <w:p>
            <w:pPr>
              <w:pStyle w:val="Compact"/>
              <w:jc w:val="left"/>
            </w:pPr>
            <w:r>
              <w:rPr>
                <w:sz w:val="17"/>
              </w:rPr>
              <w:t xml:space="preserve">§4.6, Table 10</w:t>
            </w:r>
          </w:p>
        </w:tc>
        <w:tc>
          <w:tcPr>
            <w:tcW w:w="1304" w:type="dxa"/>
            <w:shd w:val="clear" w:fill="FFEB9C"/>
          </w:tcPr>
          <w:p>
            <w:pPr>
              <w:pStyle w:val="Compact"/>
              <w:jc w:val="left"/>
            </w:pPr>
            <w:r>
              <w:rPr>
                <w:b/>
                <w:sz w:val="17"/>
              </w:rPr>
              <w:t xml:space="preserve">PARTIALLY ADDRESSED</w:t>
            </w:r>
          </w:p>
        </w:tc>
        <w:tc>
          <w:tcPr>
            <w:tcW w:w="3402" w:type="dxa"/>
          </w:tcPr>
          <w:p>
            <w:pPr>
              <w:pStyle w:val="Compact"/>
              <w:jc w:val="left"/>
            </w:pPr>
            <w:r>
              <w:rPr>
                <w:sz w:val="17"/>
              </w:rPr>
              <w:t xml:space="preserve">The manuscript never states the tuning budget or search space for any baseline. Baselines see only last-week features while EBB-Net sees six weeks, so the comparison confounds architecture with input history. §4.1 still says</w:t>
            </w:r>
            <w:r>
              <w:rPr>
                <w:sz w:val="17"/>
              </w:rPr>
              <w:t xml:space="preserve"> </w:t>
            </w:r>
            <w:r>
              <w:rPr>
                <w:sz w:val="17"/>
              </w:rPr>
              <w:t xml:space="preserve">“</w:t>
            </w:r>
            <w:r>
              <w:rPr>
                <w:sz w:val="17"/>
              </w:rPr>
              <w:t xml:space="preserve">three neural network SOTA models</w:t>
            </w:r>
            <w:r>
              <w:rPr>
                <w:sz w:val="17"/>
              </w:rPr>
              <w:t xml:space="preserve">”</w:t>
            </w:r>
            <w:r>
              <w:rPr>
                <w:sz w:val="17"/>
              </w:rPr>
              <w:t xml:space="preserve"> </w:t>
            </w:r>
            <w:r>
              <w:rPr>
                <w:sz w:val="17"/>
              </w:rPr>
              <w:t xml:space="preserve">and omits the four tabular baselines. Ridge SD = 0.0000 (deterministic) needs a note.</w:t>
            </w:r>
          </w:p>
        </w:tc>
        <w:tc>
          <w:tcPr>
            <w:tcW w:w="3061" w:type="dxa"/>
          </w:tcPr>
          <w:p>
            <w:pPr>
              <w:pStyle w:val="Compact"/>
              <w:jc w:val="left"/>
            </w:pPr>
            <w:r>
              <w:rPr>
                <w:sz w:val="17"/>
              </w:rPr>
              <w:t xml:space="preserve">State the per-baseline tuning protocol. Add lagged-feature tree baselines. Fix §4.1.</w:t>
            </w:r>
          </w:p>
        </w:tc>
      </w:tr>
      <w:tr>
        <w:tc>
          <w:tcPr>
            <w:tcW w:w="793" w:type="dxa"/>
          </w:tcPr>
          <w:p>
            <w:pPr>
              <w:pStyle w:val="Compact"/>
              <w:jc w:val="left"/>
            </w:pPr>
            <w:r>
              <w:rPr>
                <w:sz w:val="17"/>
              </w:rPr>
              <w:t xml:space="preserve">R1-2.5</w:t>
            </w:r>
          </w:p>
        </w:tc>
        <w:tc>
          <w:tcPr>
            <w:tcW w:w="1927" w:type="dxa"/>
          </w:tcPr>
          <w:p>
            <w:pPr>
              <w:pStyle w:val="Compact"/>
              <w:jc w:val="left"/>
            </w:pPr>
            <w:r>
              <w:rPr>
                <w:sz w:val="17"/>
              </w:rPr>
              <w:t xml:space="preserve">Batch-dependent inference; CBGF, AEML and consistency loss undefined</w:t>
            </w:r>
          </w:p>
        </w:tc>
        <w:tc>
          <w:tcPr>
            <w:tcW w:w="1701" w:type="dxa"/>
          </w:tcPr>
          <w:p>
            <w:pPr>
              <w:pStyle w:val="Compact"/>
              <w:jc w:val="left"/>
            </w:pPr>
            <w:r>
              <w:rPr>
                <w:sz w:val="17"/>
              </w:rPr>
              <w:t xml:space="preserve">Cross-Student Transformer removed; latency at batch sizes 1 and 4096</w:t>
            </w:r>
          </w:p>
        </w:tc>
        <w:tc>
          <w:tcPr>
            <w:tcW w:w="1134" w:type="dxa"/>
          </w:tcPr>
          <w:p>
            <w:pPr>
              <w:pStyle w:val="Compact"/>
              <w:jc w:val="left"/>
            </w:pPr>
            <w:r>
              <w:rPr>
                <w:sz w:val="17"/>
              </w:rPr>
              <w:t xml:space="preserve">Yes</w:t>
            </w:r>
          </w:p>
        </w:tc>
        <w:tc>
          <w:tcPr>
            <w:tcW w:w="1474" w:type="dxa"/>
          </w:tcPr>
          <w:p>
            <w:pPr>
              <w:pStyle w:val="Compact"/>
              <w:jc w:val="left"/>
            </w:pPr>
            <w:r>
              <w:rPr>
                <w:sz w:val="17"/>
              </w:rPr>
              <w:t xml:space="preserve">§3.4, Table 3, §4.6.2</w:t>
            </w:r>
          </w:p>
        </w:tc>
        <w:tc>
          <w:tcPr>
            <w:tcW w:w="1304" w:type="dxa"/>
            <w:shd w:val="clear" w:fill="C6EFCE"/>
          </w:tcPr>
          <w:p>
            <w:pPr>
              <w:pStyle w:val="Compact"/>
              <w:jc w:val="left"/>
            </w:pPr>
            <w:r>
              <w:rPr>
                <w:b/>
                <w:sz w:val="17"/>
              </w:rPr>
              <w:t xml:space="preserve">FULLY ADDRESSED</w:t>
            </w:r>
          </w:p>
        </w:tc>
        <w:tc>
          <w:tcPr>
            <w:tcW w:w="3402" w:type="dxa"/>
          </w:tcPr>
          <w:p>
            <w:pPr>
              <w:pStyle w:val="Compact"/>
              <w:jc w:val="left"/>
            </w:pPr>
            <w:r>
              <w:rPr>
                <w:sz w:val="17"/>
              </w:rPr>
              <w:t xml:space="preserve">The architecture is structurally per-sample (LayerNorm, no cross-sample attention). CBGF and AEML are fully removed. However, a latency measurement does not show that predictions are identical. §4.6.2 also contains</w:t>
            </w:r>
            <w:r>
              <w:rPr>
                <w:sz w:val="17"/>
              </w:rPr>
              <w:t xml:space="preserve"> </w:t>
            </w:r>
            <w:r>
              <w:rPr>
                <w:sz w:val="17"/>
              </w:rPr>
              <w:t xml:space="preserve">“</w:t>
            </w:r>
            <w:r>
              <w:rPr>
                <w:sz w:val="17"/>
              </w:rPr>
              <w:t xml:space="preserve">unlike the Cross-Student Transformer design criticised in the prior CAFE-Net review</w:t>
            </w:r>
            <w:r>
              <w:rPr>
                <w:sz w:val="17"/>
              </w:rPr>
              <w:t xml:space="preserve">”</w:t>
            </w:r>
            <w:r>
              <w:rPr>
                <w:sz w:val="17"/>
              </w:rPr>
              <w:t xml:space="preserve">, which is reviewer-facing text inside the manuscript.</w:t>
            </w:r>
          </w:p>
        </w:tc>
        <w:tc>
          <w:tcPr>
            <w:tcW w:w="3061" w:type="dxa"/>
          </w:tcPr>
          <w:p>
            <w:pPr>
              <w:pStyle w:val="Compact"/>
              <w:jc w:val="left"/>
            </w:pPr>
            <w:r>
              <w:rPr>
                <w:sz w:val="17"/>
              </w:rPr>
              <w:t xml:space="preserve">Delete that clause. Report the maximum absolute difference between batch-1 and batch-4096 predictions.</w:t>
            </w:r>
          </w:p>
        </w:tc>
      </w:tr>
      <w:tr>
        <w:tc>
          <w:tcPr>
            <w:tcW w:w="793" w:type="dxa"/>
          </w:tcPr>
          <w:p>
            <w:pPr>
              <w:pStyle w:val="Compact"/>
              <w:jc w:val="left"/>
            </w:pPr>
            <w:r>
              <w:rPr>
                <w:sz w:val="17"/>
              </w:rPr>
              <w:t xml:space="preserve">R1-S3</w:t>
            </w:r>
          </w:p>
        </w:tc>
        <w:tc>
          <w:tcPr>
            <w:tcW w:w="1927" w:type="dxa"/>
          </w:tcPr>
          <w:p>
            <w:pPr>
              <w:pStyle w:val="Compact"/>
              <w:jc w:val="left"/>
            </w:pPr>
            <w:r>
              <w:rPr>
                <w:sz w:val="17"/>
              </w:rPr>
              <w:t xml:space="preserve">Reproducibility: derivation pipeline, parameters, cost, code</w:t>
            </w:r>
          </w:p>
        </w:tc>
        <w:tc>
          <w:tcPr>
            <w:tcW w:w="1701" w:type="dxa"/>
          </w:tcPr>
          <w:p>
            <w:pPr>
              <w:pStyle w:val="Compact"/>
              <w:jc w:val="left"/>
            </w:pPr>
            <w:r>
              <w:rPr>
                <w:sz w:val="17"/>
              </w:rPr>
              <w:t xml:space="preserve">Partially resolved; repository link pending (placeholder)</w:t>
            </w:r>
          </w:p>
        </w:tc>
        <w:tc>
          <w:tcPr>
            <w:tcW w:w="1134" w:type="dxa"/>
          </w:tcPr>
          <w:p>
            <w:pPr>
              <w:pStyle w:val="Compact"/>
              <w:jc w:val="left"/>
            </w:pPr>
            <w:r>
              <w:rPr>
                <w:sz w:val="17"/>
              </w:rPr>
              <w:t xml:space="preserve">Partly</w:t>
            </w:r>
          </w:p>
        </w:tc>
        <w:tc>
          <w:tcPr>
            <w:tcW w:w="1474" w:type="dxa"/>
          </w:tcPr>
          <w:p>
            <w:pPr>
              <w:pStyle w:val="Compact"/>
              <w:jc w:val="left"/>
            </w:pPr>
            <w:r>
              <w:rPr>
                <w:sz w:val="17"/>
              </w:rPr>
              <w:t xml:space="preserve">§3.1–3.3, Table 4, Table 12, Data Availability</w:t>
            </w:r>
          </w:p>
        </w:tc>
        <w:tc>
          <w:tcPr>
            <w:tcW w:w="1304" w:type="dxa"/>
            <w:shd w:val="clear" w:fill="FFEB9C"/>
          </w:tcPr>
          <w:p>
            <w:pPr>
              <w:pStyle w:val="Compact"/>
              <w:jc w:val="left"/>
            </w:pPr>
            <w:r>
              <w:rPr>
                <w:b/>
                <w:sz w:val="17"/>
              </w:rPr>
              <w:t xml:space="preserve">PARTIALLY ADDRESSED</w:t>
            </w:r>
          </w:p>
        </w:tc>
        <w:tc>
          <w:tcPr>
            <w:tcW w:w="3402" w:type="dxa"/>
          </w:tcPr>
          <w:p>
            <w:pPr>
              <w:pStyle w:val="Compact"/>
              <w:jc w:val="left"/>
            </w:pPr>
            <w:r>
              <w:rPr>
                <w:sz w:val="17"/>
              </w:rPr>
              <w:t xml:space="preserve">Table 4 sums to 238,575 (verified). The response says the code statement holds a placeholder, but the manuscript says</w:t>
            </w:r>
            <w:r>
              <w:rPr>
                <w:sz w:val="17"/>
              </w:rPr>
              <w:t xml:space="preserve"> </w:t>
            </w:r>
            <w:r>
              <w:rPr>
                <w:sz w:val="17"/>
              </w:rPr>
              <w:t xml:space="preserve">“</w:t>
            </w:r>
            <w:r>
              <w:rPr>
                <w:sz w:val="17"/>
              </w:rPr>
              <w:t xml:space="preserve">The code is attached as supplementary material</w:t>
            </w:r>
            <w:r>
              <w:rPr>
                <w:sz w:val="17"/>
              </w:rPr>
              <w:t xml:space="preserve">”</w:t>
            </w:r>
            <w:r>
              <w:rPr>
                <w:sz w:val="17"/>
              </w:rPr>
              <w:t xml:space="preserve">; these contradict each other. No DOI is given (Req. 11). Hardware is unspecified (</w:t>
            </w:r>
            <w:r>
              <w:rPr>
                <w:sz w:val="17"/>
              </w:rPr>
              <w:t xml:space="preserve">“</w:t>
            </w:r>
            <w:r>
              <w:rPr>
                <w:sz w:val="17"/>
              </w:rPr>
              <w:t xml:space="preserve">single GPU/CPU run</w:t>
            </w:r>
            <w:r>
              <w:rPr>
                <w:sz w:val="17"/>
              </w:rPr>
              <w:t xml:space="preserve">”</w:t>
            </w:r>
            <w:r>
              <w:rPr>
                <w:sz w:val="17"/>
              </w:rPr>
              <w:t xml:space="preserve">). The eight leakage checks are named but not tabulated.</w:t>
            </w:r>
          </w:p>
        </w:tc>
        <w:tc>
          <w:tcPr>
            <w:tcW w:w="3061" w:type="dxa"/>
          </w:tcPr>
          <w:p>
            <w:pPr>
              <w:pStyle w:val="Compact"/>
              <w:jc w:val="left"/>
            </w:pPr>
            <w:r>
              <w:rPr>
                <w:sz w:val="17"/>
              </w:rPr>
              <w:t xml:space="preserve">Deposit the code on Zenodo or GitHub with a DOI. State the hardware. Add the leakage-audit table as S2.</w:t>
            </w:r>
          </w:p>
        </w:tc>
      </w:tr>
      <w:tr>
        <w:tc>
          <w:tcPr>
            <w:tcW w:w="793" w:type="dxa"/>
          </w:tcPr>
          <w:p>
            <w:pPr>
              <w:pStyle w:val="Compact"/>
              <w:jc w:val="left"/>
            </w:pPr>
            <w:r>
              <w:rPr>
                <w:sz w:val="17"/>
              </w:rPr>
              <w:t xml:space="preserve">R1-Req2</w:t>
            </w:r>
          </w:p>
        </w:tc>
        <w:tc>
          <w:tcPr>
            <w:tcW w:w="1927" w:type="dxa"/>
          </w:tcPr>
          <w:p>
            <w:pPr>
              <w:pStyle w:val="Compact"/>
              <w:jc w:val="left"/>
            </w:pPr>
            <w:r>
              <w:rPr>
                <w:sz w:val="17"/>
              </w:rPr>
              <w:t xml:space="preserve">Leakage diagnostics: training-mean, presentation-ID-only, metadata-only predictors</w:t>
            </w:r>
          </w:p>
        </w:tc>
        <w:tc>
          <w:tcPr>
            <w:tcW w:w="1701" w:type="dxa"/>
          </w:tcPr>
          <w:p>
            <w:pPr>
              <w:pStyle w:val="Compact"/>
              <w:jc w:val="left"/>
            </w:pPr>
            <w:r>
              <w:rPr>
                <w:sz w:val="17"/>
              </w:rPr>
              <w:t xml:space="preserve">Not run; risk</w:t>
            </w:r>
            <w:r>
              <w:rPr>
                <w:sz w:val="17"/>
              </w:rPr>
              <w:t xml:space="preserve"> </w:t>
            </w:r>
            <w:r>
              <w:rPr>
                <w:sz w:val="17"/>
              </w:rPr>
              <w:t xml:space="preserve">“</w:t>
            </w:r>
            <w:r>
              <w:rPr>
                <w:sz w:val="17"/>
              </w:rPr>
              <w:t xml:space="preserve">addressed by design</w:t>
            </w:r>
            <w:r>
              <w:rPr>
                <w:sz w:val="17"/>
              </w:rPr>
              <w:t xml:space="preserve">”</w:t>
            </w:r>
          </w:p>
        </w:tc>
        <w:tc>
          <w:tcPr>
            <w:tcW w:w="1134" w:type="dxa"/>
          </w:tcPr>
          <w:p>
            <w:pPr>
              <w:pStyle w:val="Compact"/>
              <w:jc w:val="left"/>
            </w:pPr>
            <w:r>
              <w:rPr>
                <w:sz w:val="17"/>
              </w:rPr>
              <w:t xml:space="preserve">No</w:t>
            </w:r>
          </w:p>
        </w:tc>
        <w:tc>
          <w:tcPr>
            <w:tcW w:w="1474" w:type="dxa"/>
          </w:tcPr>
          <w:p>
            <w:pPr>
              <w:pStyle w:val="Compact"/>
              <w:jc w:val="left"/>
            </w:pPr>
            <w:r>
              <w:rPr>
                <w:sz w:val="17"/>
              </w:rPr>
              <w:t xml:space="preserve">–</w:t>
            </w:r>
          </w:p>
        </w:tc>
        <w:tc>
          <w:tcPr>
            <w:tcW w:w="1304" w:type="dxa"/>
            <w:shd w:val="clear" w:fill="FFC7CE"/>
          </w:tcPr>
          <w:p>
            <w:pPr>
              <w:pStyle w:val="Compact"/>
              <w:jc w:val="left"/>
            </w:pPr>
            <w:r>
              <w:rPr>
                <w:b/>
                <w:sz w:val="17"/>
              </w:rPr>
              <w:t xml:space="preserve">NOT ADDRESSED</w:t>
            </w:r>
          </w:p>
        </w:tc>
        <w:tc>
          <w:tcPr>
            <w:tcW w:w="3402" w:type="dxa"/>
          </w:tcPr>
          <w:p>
            <w:pPr>
              <w:pStyle w:val="Compact"/>
              <w:jc w:val="left"/>
            </w:pPr>
            <w:r>
              <w:rPr>
                <w:sz w:val="17"/>
              </w:rPr>
              <w:t xml:space="preserve">This is weakened by the module features in the inputs and in LIME. All three diagnostics take minutes to run.</w:t>
            </w:r>
          </w:p>
        </w:tc>
        <w:tc>
          <w:tcPr>
            <w:tcW w:w="3061" w:type="dxa"/>
          </w:tcPr>
          <w:p>
            <w:pPr>
              <w:pStyle w:val="Compact"/>
              <w:jc w:val="left"/>
            </w:pPr>
            <w:r>
              <w:rPr>
                <w:sz w:val="17"/>
              </w:rPr>
              <w:t xml:space="preserve">Run all three and report them as rows in Table 10 or in a supplementary table.</w:t>
            </w:r>
          </w:p>
        </w:tc>
      </w:tr>
      <w:tr>
        <w:tc>
          <w:tcPr>
            <w:tcW w:w="793" w:type="dxa"/>
          </w:tcPr>
          <w:p>
            <w:pPr>
              <w:pStyle w:val="Compact"/>
              <w:jc w:val="left"/>
            </w:pPr>
            <w:r>
              <w:rPr>
                <w:sz w:val="17"/>
              </w:rPr>
              <w:t xml:space="preserve">R2-1</w:t>
            </w:r>
          </w:p>
        </w:tc>
        <w:tc>
          <w:tcPr>
            <w:tcW w:w="1927" w:type="dxa"/>
          </w:tcPr>
          <w:p>
            <w:pPr>
              <w:pStyle w:val="Compact"/>
              <w:jc w:val="left"/>
            </w:pPr>
            <w:r>
              <w:rPr>
                <w:sz w:val="17"/>
              </w:rPr>
              <w:t xml:space="preserve">Unit of prediction; held-out-presentation split; presentation counts</w:t>
            </w:r>
          </w:p>
        </w:tc>
        <w:tc>
          <w:tcPr>
            <w:tcW w:w="1701" w:type="dxa"/>
          </w:tcPr>
          <w:p>
            <w:pPr>
              <w:pStyle w:val="Compact"/>
              <w:jc w:val="left"/>
            </w:pPr>
            <w:r>
              <w:rPr>
                <w:sz w:val="17"/>
              </w:rPr>
              <w:t xml:space="preserve">Redesign; held-out split not adopted</w:t>
            </w:r>
          </w:p>
        </w:tc>
        <w:tc>
          <w:tcPr>
            <w:tcW w:w="1134" w:type="dxa"/>
          </w:tcPr>
          <w:p>
            <w:pPr>
              <w:pStyle w:val="Compact"/>
              <w:jc w:val="left"/>
            </w:pPr>
            <w:r>
              <w:rPr>
                <w:sz w:val="17"/>
              </w:rPr>
              <w:t xml:space="preserve">Partly</w:t>
            </w:r>
          </w:p>
        </w:tc>
        <w:tc>
          <w:tcPr>
            <w:tcW w:w="1474" w:type="dxa"/>
          </w:tcPr>
          <w:p>
            <w:pPr>
              <w:pStyle w:val="Compact"/>
              <w:jc w:val="left"/>
            </w:pPr>
            <w:r>
              <w:rPr>
                <w:sz w:val="17"/>
              </w:rPr>
              <w:t xml:space="preserve">Table 2; §3.1</w:t>
            </w:r>
          </w:p>
        </w:tc>
        <w:tc>
          <w:tcPr>
            <w:tcW w:w="1304" w:type="dxa"/>
            <w:shd w:val="clear" w:fill="FFEB9C"/>
          </w:tcPr>
          <w:p>
            <w:pPr>
              <w:pStyle w:val="Compact"/>
              <w:jc w:val="left"/>
            </w:pPr>
            <w:r>
              <w:rPr>
                <w:b/>
                <w:sz w:val="17"/>
              </w:rPr>
              <w:t xml:space="preserve">PARTIALLY ADDRESSED</w:t>
            </w:r>
          </w:p>
        </w:tc>
        <w:tc>
          <w:tcPr>
            <w:tcW w:w="3402" w:type="dxa"/>
          </w:tcPr>
          <w:p>
            <w:pPr>
              <w:pStyle w:val="Compact"/>
              <w:jc w:val="left"/>
            </w:pPr>
            <w:r>
              <w:rPr>
                <w:sz w:val="17"/>
              </w:rPr>
              <w:t xml:space="preserve">Same gap as R1-1.1.</w:t>
            </w:r>
          </w:p>
        </w:tc>
        <w:tc>
          <w:tcPr>
            <w:tcW w:w="3061" w:type="dxa"/>
          </w:tcPr>
          <w:p>
            <w:pPr>
              <w:pStyle w:val="Compact"/>
              <w:jc w:val="left"/>
            </w:pPr>
            <w:r>
              <w:rPr>
                <w:sz w:val="17"/>
              </w:rPr>
              <w:t xml:space="preserve">Same as R1-1.1.</w:t>
            </w:r>
          </w:p>
        </w:tc>
      </w:tr>
      <w:tr>
        <w:tc>
          <w:tcPr>
            <w:tcW w:w="793" w:type="dxa"/>
          </w:tcPr>
          <w:p>
            <w:pPr>
              <w:pStyle w:val="Compact"/>
              <w:jc w:val="left"/>
            </w:pPr>
            <w:r>
              <w:rPr>
                <w:sz w:val="17"/>
              </w:rPr>
              <w:t xml:space="preserve">R2-2</w:t>
            </w:r>
          </w:p>
        </w:tc>
        <w:tc>
          <w:tcPr>
            <w:tcW w:w="1927" w:type="dxa"/>
          </w:tcPr>
          <w:p>
            <w:pPr>
              <w:pStyle w:val="Compact"/>
              <w:jc w:val="left"/>
            </w:pPr>
            <w:r>
              <w:rPr>
                <w:sz w:val="17"/>
              </w:rPr>
              <w:t xml:space="preserve">Prospective prediction; feature availability; remove outcome-derived inputs; per-fold preprocessing</w:t>
            </w:r>
          </w:p>
        </w:tc>
        <w:tc>
          <w:tcPr>
            <w:tcW w:w="1701" w:type="dxa"/>
          </w:tcPr>
          <w:p>
            <w:pPr>
              <w:pStyle w:val="Compact"/>
              <w:jc w:val="left"/>
            </w:pPr>
            <w:r>
              <w:rPr>
                <w:sz w:val="17"/>
              </w:rPr>
              <w:t xml:space="preserve">Inputs stop at t; preprocessing fit on training data</w:t>
            </w:r>
          </w:p>
        </w:tc>
        <w:tc>
          <w:tcPr>
            <w:tcW w:w="1134" w:type="dxa"/>
          </w:tcPr>
          <w:p>
            <w:pPr>
              <w:pStyle w:val="Compact"/>
              <w:jc w:val="left"/>
            </w:pPr>
            <w:r>
              <w:rPr>
                <w:sz w:val="17"/>
              </w:rPr>
              <w:t xml:space="preserve">Yes</w:t>
            </w:r>
          </w:p>
        </w:tc>
        <w:tc>
          <w:tcPr>
            <w:tcW w:w="1474" w:type="dxa"/>
          </w:tcPr>
          <w:p>
            <w:pPr>
              <w:pStyle w:val="Compact"/>
              <w:jc w:val="left"/>
            </w:pPr>
            <w:r>
              <w:rPr>
                <w:sz w:val="17"/>
              </w:rPr>
              <w:t xml:space="preserve">§3.1–3.3, §4.1</w:t>
            </w:r>
          </w:p>
        </w:tc>
        <w:tc>
          <w:tcPr>
            <w:tcW w:w="1304" w:type="dxa"/>
            <w:shd w:val="clear" w:fill="C6EFCE"/>
          </w:tcPr>
          <w:p>
            <w:pPr>
              <w:pStyle w:val="Compact"/>
              <w:jc w:val="left"/>
            </w:pPr>
            <w:r>
              <w:rPr>
                <w:b/>
                <w:sz w:val="17"/>
              </w:rPr>
              <w:t xml:space="preserve">FULLY ADDRESSED</w:t>
            </w:r>
          </w:p>
        </w:tc>
        <w:tc>
          <w:tcPr>
            <w:tcW w:w="3402" w:type="dxa"/>
          </w:tcPr>
          <w:p>
            <w:pPr>
              <w:pStyle w:val="Compact"/>
              <w:jc w:val="left"/>
            </w:pPr>
            <w:r>
              <w:rPr>
                <w:sz w:val="17"/>
              </w:rPr>
              <w:t xml:space="preserve">Verified. Per-fold recomputation does not apply to a single fixed split. Excluding windows that transition into withdrawal removes the most severe disengagement from the positive class; this selection effect is not discussed.</w:t>
            </w:r>
          </w:p>
        </w:tc>
        <w:tc>
          <w:tcPr>
            <w:tcW w:w="3061" w:type="dxa"/>
          </w:tcPr>
          <w:p>
            <w:pPr>
              <w:pStyle w:val="Compact"/>
              <w:jc w:val="left"/>
            </w:pPr>
            <w:r>
              <w:rPr>
                <w:sz w:val="17"/>
              </w:rPr>
              <w:t xml:space="preserve">Add the withdrawal-exclusion effect to Limitations.</w:t>
            </w:r>
          </w:p>
        </w:tc>
      </w:tr>
      <w:tr>
        <w:tc>
          <w:tcPr>
            <w:tcW w:w="793" w:type="dxa"/>
          </w:tcPr>
          <w:p>
            <w:pPr>
              <w:pStyle w:val="Compact"/>
              <w:jc w:val="left"/>
            </w:pPr>
            <w:r>
              <w:rPr>
                <w:sz w:val="17"/>
              </w:rPr>
              <w:t xml:space="preserve">R2-3</w:t>
            </w:r>
          </w:p>
        </w:tc>
        <w:tc>
          <w:tcPr>
            <w:tcW w:w="1927" w:type="dxa"/>
          </w:tcPr>
          <w:p>
            <w:pPr>
              <w:pStyle w:val="Compact"/>
              <w:jc w:val="left"/>
            </w:pPr>
            <w:r>
              <w:rPr>
                <w:sz w:val="17"/>
              </w:rPr>
              <w:t xml:space="preserve">Validate EEI/CSI constructs</w:t>
            </w:r>
          </w:p>
        </w:tc>
        <w:tc>
          <w:tcPr>
            <w:tcW w:w="1701" w:type="dxa"/>
          </w:tcPr>
          <w:p>
            <w:pPr>
              <w:pStyle w:val="Compact"/>
              <w:jc w:val="left"/>
            </w:pPr>
            <w:r>
              <w:rPr>
                <w:sz w:val="17"/>
              </w:rPr>
              <w:t xml:space="preserve">Removed</w:t>
            </w:r>
          </w:p>
        </w:tc>
        <w:tc>
          <w:tcPr>
            <w:tcW w:w="1134" w:type="dxa"/>
          </w:tcPr>
          <w:p>
            <w:pPr>
              <w:pStyle w:val="Compact"/>
              <w:jc w:val="left"/>
            </w:pPr>
            <w:r>
              <w:rPr>
                <w:sz w:val="17"/>
              </w:rPr>
              <w:t xml:space="preserve">Yes</w:t>
            </w:r>
          </w:p>
        </w:tc>
        <w:tc>
          <w:tcPr>
            <w:tcW w:w="1474" w:type="dxa"/>
          </w:tcPr>
          <w:p>
            <w:pPr>
              <w:pStyle w:val="Compact"/>
              <w:jc w:val="left"/>
            </w:pPr>
            <w:r>
              <w:rPr>
                <w:sz w:val="17"/>
              </w:rPr>
              <w:t xml:space="preserve">–</w:t>
            </w:r>
          </w:p>
        </w:tc>
        <w:tc>
          <w:tcPr>
            <w:tcW w:w="1304" w:type="dxa"/>
            <w:shd w:val="clear" w:fill="D9D9D9"/>
          </w:tcPr>
          <w:p>
            <w:pPr>
              <w:pStyle w:val="Compact"/>
              <w:jc w:val="left"/>
            </w:pPr>
            <w:r>
              <w:rPr>
                <w:b/>
                <w:sz w:val="17"/>
              </w:rPr>
              <w:t xml:space="preserve">NOT APPLICABLE</w:t>
            </w:r>
          </w:p>
        </w:tc>
        <w:tc>
          <w:tcPr>
            <w:tcW w:w="3402" w:type="dxa"/>
          </w:tcPr>
          <w:p>
            <w:pPr>
              <w:pStyle w:val="Compact"/>
              <w:jc w:val="left"/>
            </w:pPr>
            <w:r>
              <w:rPr>
                <w:sz w:val="17"/>
              </w:rPr>
              <w:t xml:space="preserve">The constructs no longer exist.</w:t>
            </w:r>
          </w:p>
        </w:tc>
        <w:tc>
          <w:tcPr>
            <w:tcW w:w="3061" w:type="dxa"/>
          </w:tcPr>
          <w:p>
            <w:pPr>
              <w:pStyle w:val="Compact"/>
              <w:jc w:val="left"/>
            </w:pPr>
            <w:r>
              <w:rPr>
                <w:sz w:val="17"/>
              </w:rPr>
              <w:t xml:space="preserve">None.</w:t>
            </w:r>
          </w:p>
        </w:tc>
      </w:tr>
      <w:tr>
        <w:tc>
          <w:tcPr>
            <w:tcW w:w="793" w:type="dxa"/>
          </w:tcPr>
          <w:p>
            <w:pPr>
              <w:pStyle w:val="Compact"/>
              <w:jc w:val="left"/>
            </w:pPr>
            <w:r>
              <w:rPr>
                <w:sz w:val="17"/>
              </w:rPr>
              <w:t xml:space="preserve">R2-4</w:t>
            </w:r>
          </w:p>
        </w:tc>
        <w:tc>
          <w:tcPr>
            <w:tcW w:w="1927" w:type="dxa"/>
          </w:tcPr>
          <w:p>
            <w:pPr>
              <w:pStyle w:val="Compact"/>
              <w:jc w:val="left"/>
            </w:pPr>
            <w:r>
              <w:rPr>
                <w:sz w:val="17"/>
              </w:rPr>
              <w:t xml:space="preserve">Resolve Cross-Student Transformer batch dependence</w:t>
            </w:r>
          </w:p>
        </w:tc>
        <w:tc>
          <w:tcPr>
            <w:tcW w:w="1701" w:type="dxa"/>
          </w:tcPr>
          <w:p>
            <w:pPr>
              <w:pStyle w:val="Compact"/>
              <w:jc w:val="left"/>
            </w:pPr>
            <w:r>
              <w:rPr>
                <w:sz w:val="17"/>
              </w:rPr>
              <w:t xml:space="preserve">Removed; latency measured</w:t>
            </w:r>
          </w:p>
        </w:tc>
        <w:tc>
          <w:tcPr>
            <w:tcW w:w="1134" w:type="dxa"/>
          </w:tcPr>
          <w:p>
            <w:pPr>
              <w:pStyle w:val="Compact"/>
              <w:jc w:val="left"/>
            </w:pPr>
            <w:r>
              <w:rPr>
                <w:sz w:val="17"/>
              </w:rPr>
              <w:t xml:space="preserve">Yes</w:t>
            </w:r>
          </w:p>
        </w:tc>
        <w:tc>
          <w:tcPr>
            <w:tcW w:w="1474" w:type="dxa"/>
          </w:tcPr>
          <w:p>
            <w:pPr>
              <w:pStyle w:val="Compact"/>
              <w:jc w:val="left"/>
            </w:pPr>
            <w:r>
              <w:rPr>
                <w:sz w:val="17"/>
              </w:rPr>
              <w:t xml:space="preserve">§3.4, §4.6.2</w:t>
            </w:r>
          </w:p>
        </w:tc>
        <w:tc>
          <w:tcPr>
            <w:tcW w:w="1304" w:type="dxa"/>
            <w:shd w:val="clear" w:fill="C6EFCE"/>
          </w:tcPr>
          <w:p>
            <w:pPr>
              <w:pStyle w:val="Compact"/>
              <w:jc w:val="left"/>
            </w:pPr>
            <w:r>
              <w:rPr>
                <w:b/>
                <w:sz w:val="17"/>
              </w:rPr>
              <w:t xml:space="preserve">FULLY ADDRESSED</w:t>
            </w:r>
          </w:p>
        </w:tc>
        <w:tc>
          <w:tcPr>
            <w:tcW w:w="3402" w:type="dxa"/>
          </w:tcPr>
          <w:p>
            <w:pPr>
              <w:pStyle w:val="Compact"/>
              <w:jc w:val="left"/>
            </w:pPr>
            <w:r>
              <w:rPr>
                <w:sz w:val="17"/>
              </w:rPr>
              <w:t xml:space="preserve">Same caveat as R1-2.5 (no prediction-equality evidence; CAFE-Net mention).</w:t>
            </w:r>
          </w:p>
        </w:tc>
        <w:tc>
          <w:tcPr>
            <w:tcW w:w="3061" w:type="dxa"/>
          </w:tcPr>
          <w:p>
            <w:pPr>
              <w:pStyle w:val="Compact"/>
              <w:jc w:val="left"/>
            </w:pPr>
            <w:r>
              <w:rPr>
                <w:sz w:val="17"/>
              </w:rPr>
              <w:t xml:space="preserve">Same as R1-2.5.</w:t>
            </w:r>
          </w:p>
        </w:tc>
      </w:tr>
      <w:tr>
        <w:tc>
          <w:tcPr>
            <w:tcW w:w="793" w:type="dxa"/>
          </w:tcPr>
          <w:p>
            <w:pPr>
              <w:pStyle w:val="Compact"/>
              <w:jc w:val="left"/>
            </w:pPr>
            <w:r>
              <w:rPr>
                <w:sz w:val="17"/>
              </w:rPr>
              <w:t xml:space="preserve">R2-5</w:t>
            </w:r>
          </w:p>
        </w:tc>
        <w:tc>
          <w:tcPr>
            <w:tcW w:w="1927" w:type="dxa"/>
          </w:tcPr>
          <w:p>
            <w:pPr>
              <w:pStyle w:val="Compact"/>
              <w:jc w:val="left"/>
            </w:pPr>
            <w:r>
              <w:rPr>
                <w:sz w:val="17"/>
              </w:rPr>
              <w:t xml:space="preserve">Reconcile described vs implemented architecture</w:t>
            </w:r>
          </w:p>
        </w:tc>
        <w:tc>
          <w:tcPr>
            <w:tcW w:w="1701" w:type="dxa"/>
          </w:tcPr>
          <w:p>
            <w:pPr>
              <w:pStyle w:val="Compact"/>
              <w:jc w:val="left"/>
            </w:pPr>
            <w:r>
              <w:rPr>
                <w:sz w:val="17"/>
              </w:rPr>
              <w:t xml:space="preserve">Unimplemented components removed</w:t>
            </w:r>
          </w:p>
        </w:tc>
        <w:tc>
          <w:tcPr>
            <w:tcW w:w="1134" w:type="dxa"/>
          </w:tcPr>
          <w:p>
            <w:pPr>
              <w:pStyle w:val="Compact"/>
              <w:jc w:val="left"/>
            </w:pPr>
            <w:r>
              <w:rPr>
                <w:sz w:val="17"/>
              </w:rPr>
              <w:t xml:space="preserve">Yes</w:t>
            </w:r>
          </w:p>
        </w:tc>
        <w:tc>
          <w:tcPr>
            <w:tcW w:w="1474" w:type="dxa"/>
          </w:tcPr>
          <w:p>
            <w:pPr>
              <w:pStyle w:val="Compact"/>
              <w:jc w:val="left"/>
            </w:pPr>
            <w:r>
              <w:rPr>
                <w:sz w:val="17"/>
              </w:rPr>
              <w:t xml:space="preserve">§3.4, Tables 3–4, §4.5</w:t>
            </w:r>
          </w:p>
        </w:tc>
        <w:tc>
          <w:tcPr>
            <w:tcW w:w="1304" w:type="dxa"/>
            <w:shd w:val="clear" w:fill="C6EFCE"/>
          </w:tcPr>
          <w:p>
            <w:pPr>
              <w:pStyle w:val="Compact"/>
              <w:jc w:val="left"/>
            </w:pPr>
            <w:r>
              <w:rPr>
                <w:b/>
                <w:sz w:val="17"/>
              </w:rPr>
              <w:t xml:space="preserve">FULLY ADDRESSED</w:t>
            </w:r>
          </w:p>
        </w:tc>
        <w:tc>
          <w:tcPr>
            <w:tcW w:w="3402" w:type="dxa"/>
          </w:tcPr>
          <w:p>
            <w:pPr>
              <w:pStyle w:val="Compact"/>
              <w:jc w:val="left"/>
            </w:pPr>
            <w:r>
              <w:rPr>
                <w:sz w:val="17"/>
              </w:rPr>
              <w:t xml:space="preserve">Verified. The A1–A5 ablations match the modules defined in Table 3.</w:t>
            </w:r>
          </w:p>
        </w:tc>
        <w:tc>
          <w:tcPr>
            <w:tcW w:w="3061" w:type="dxa"/>
          </w:tcPr>
          <w:p>
            <w:pPr>
              <w:pStyle w:val="Compact"/>
              <w:jc w:val="left"/>
            </w:pPr>
            <w:r>
              <w:rPr>
                <w:sz w:val="17"/>
              </w:rPr>
              <w:t xml:space="preserve">None.</w:t>
            </w:r>
          </w:p>
        </w:tc>
      </w:tr>
      <w:tr>
        <w:tc>
          <w:tcPr>
            <w:tcW w:w="793" w:type="dxa"/>
          </w:tcPr>
          <w:p>
            <w:pPr>
              <w:pStyle w:val="Compact"/>
              <w:jc w:val="left"/>
            </w:pPr>
            <w:r>
              <w:rPr>
                <w:sz w:val="17"/>
              </w:rPr>
              <w:t xml:space="preserve">R2-6</w:t>
            </w:r>
          </w:p>
        </w:tc>
        <w:tc>
          <w:tcPr>
            <w:tcW w:w="1927" w:type="dxa"/>
          </w:tcPr>
          <w:p>
            <w:pPr>
              <w:pStyle w:val="Compact"/>
              <w:jc w:val="left"/>
            </w:pPr>
            <w:r>
              <w:rPr>
                <w:sz w:val="17"/>
              </w:rPr>
              <w:t xml:space="preserve">GBM/RF/ridge; matched temporal and structural networks; KT adaptation; DAKTN claim</w:t>
            </w:r>
          </w:p>
        </w:tc>
        <w:tc>
          <w:tcPr>
            <w:tcW w:w="1701" w:type="dxa"/>
          </w:tcPr>
          <w:p>
            <w:pPr>
              <w:pStyle w:val="Compact"/>
              <w:jc w:val="left"/>
            </w:pPr>
            <w:r>
              <w:rPr>
                <w:sz w:val="17"/>
              </w:rPr>
              <w:t xml:space="preserve">Tree and linear baselines added; single-branch ablations not added</w:t>
            </w:r>
          </w:p>
        </w:tc>
        <w:tc>
          <w:tcPr>
            <w:tcW w:w="1134" w:type="dxa"/>
          </w:tcPr>
          <w:p>
            <w:pPr>
              <w:pStyle w:val="Compact"/>
              <w:jc w:val="left"/>
            </w:pPr>
            <w:r>
              <w:rPr>
                <w:sz w:val="17"/>
              </w:rPr>
              <w:t xml:space="preserve">Partly</w:t>
            </w:r>
          </w:p>
        </w:tc>
        <w:tc>
          <w:tcPr>
            <w:tcW w:w="1474" w:type="dxa"/>
          </w:tcPr>
          <w:p>
            <w:pPr>
              <w:pStyle w:val="Compact"/>
              <w:jc w:val="left"/>
            </w:pPr>
            <w:r>
              <w:rPr>
                <w:sz w:val="17"/>
              </w:rPr>
              <w:t xml:space="preserve">Table 10, Table 9</w:t>
            </w:r>
          </w:p>
        </w:tc>
        <w:tc>
          <w:tcPr>
            <w:tcW w:w="1304" w:type="dxa"/>
            <w:shd w:val="clear" w:fill="FFEB9C"/>
          </w:tcPr>
          <w:p>
            <w:pPr>
              <w:pStyle w:val="Compact"/>
              <w:jc w:val="left"/>
            </w:pPr>
            <w:r>
              <w:rPr>
                <w:b/>
                <w:sz w:val="17"/>
              </w:rPr>
              <w:t xml:space="preserve">PARTIALLY ADDRESSED</w:t>
            </w:r>
          </w:p>
        </w:tc>
        <w:tc>
          <w:tcPr>
            <w:tcW w:w="3402" w:type="dxa"/>
          </w:tcPr>
          <w:p>
            <w:pPr>
              <w:pStyle w:val="Compact"/>
              <w:jc w:val="left"/>
            </w:pPr>
            <w:r>
              <w:rPr>
                <w:sz w:val="17"/>
              </w:rPr>
              <w:t xml:space="preserve">No static-only or temporal-only network was added. Tuning parity is unstated.</w:t>
            </w:r>
          </w:p>
        </w:tc>
        <w:tc>
          <w:tcPr>
            <w:tcW w:w="3061" w:type="dxa"/>
          </w:tcPr>
          <w:p>
            <w:pPr>
              <w:pStyle w:val="Compact"/>
              <w:jc w:val="left"/>
            </w:pPr>
            <w:r>
              <w:rPr>
                <w:sz w:val="17"/>
              </w:rPr>
              <w:t xml:space="preserve">Add a static-only and a temporal-only variant, or justify A1/A3 as equivalents in the text.</w:t>
            </w:r>
          </w:p>
        </w:tc>
      </w:tr>
      <w:tr>
        <w:tc>
          <w:tcPr>
            <w:tcW w:w="793" w:type="dxa"/>
          </w:tcPr>
          <w:p>
            <w:pPr>
              <w:pStyle w:val="Compact"/>
              <w:jc w:val="left"/>
            </w:pPr>
            <w:r>
              <w:rPr>
                <w:sz w:val="17"/>
              </w:rPr>
              <w:t xml:space="preserve">R2-7</w:t>
            </w:r>
          </w:p>
        </w:tc>
        <w:tc>
          <w:tcPr>
            <w:tcW w:w="1927" w:type="dxa"/>
          </w:tcPr>
          <w:p>
            <w:pPr>
              <w:pStyle w:val="Compact"/>
              <w:jc w:val="left"/>
            </w:pPr>
            <w:r>
              <w:rPr>
                <w:sz w:val="17"/>
              </w:rPr>
              <w:t xml:space="preserve">Correct uncertainty and significance analysis</w:t>
            </w:r>
          </w:p>
        </w:tc>
        <w:tc>
          <w:tcPr>
            <w:tcW w:w="1701" w:type="dxa"/>
          </w:tcPr>
          <w:p>
            <w:pPr>
              <w:pStyle w:val="Compact"/>
              <w:jc w:val="left"/>
            </w:pPr>
            <w:r>
              <w:rPr>
                <w:sz w:val="17"/>
              </w:rPr>
              <w:t xml:space="preserve">See R1-2.3</w:t>
            </w:r>
          </w:p>
        </w:tc>
        <w:tc>
          <w:tcPr>
            <w:tcW w:w="1134" w:type="dxa"/>
          </w:tcPr>
          <w:p>
            <w:pPr>
              <w:pStyle w:val="Compact"/>
              <w:jc w:val="left"/>
            </w:pPr>
            <w:r>
              <w:rPr>
                <w:sz w:val="17"/>
              </w:rPr>
              <w:t xml:space="preserve">Partly</w:t>
            </w:r>
          </w:p>
        </w:tc>
        <w:tc>
          <w:tcPr>
            <w:tcW w:w="1474" w:type="dxa"/>
          </w:tcPr>
          <w:p>
            <w:pPr>
              <w:pStyle w:val="Compact"/>
              <w:jc w:val="left"/>
            </w:pPr>
            <w:r>
              <w:rPr>
                <w:sz w:val="17"/>
              </w:rPr>
              <w:t xml:space="preserve">Table 11</w:t>
            </w:r>
          </w:p>
        </w:tc>
        <w:tc>
          <w:tcPr>
            <w:tcW w:w="1304" w:type="dxa"/>
            <w:shd w:val="clear" w:fill="FFEB9C"/>
          </w:tcPr>
          <w:p>
            <w:pPr>
              <w:pStyle w:val="Compact"/>
              <w:jc w:val="left"/>
            </w:pPr>
            <w:r>
              <w:rPr>
                <w:b/>
                <w:sz w:val="17"/>
              </w:rPr>
              <w:t xml:space="preserve">PARTIALLY ADDRESSED</w:t>
            </w:r>
          </w:p>
        </w:tc>
        <w:tc>
          <w:tcPr>
            <w:tcW w:w="3402" w:type="dxa"/>
          </w:tcPr>
          <w:p>
            <w:pPr>
              <w:pStyle w:val="Compact"/>
              <w:jc w:val="left"/>
            </w:pPr>
            <w:r>
              <w:rPr>
                <w:sz w:val="17"/>
              </w:rPr>
              <w:t xml:space="preserve">Same errors as R1-2.3.</w:t>
            </w:r>
          </w:p>
        </w:tc>
        <w:tc>
          <w:tcPr>
            <w:tcW w:w="3061" w:type="dxa"/>
          </w:tcPr>
          <w:p>
            <w:pPr>
              <w:pStyle w:val="Compact"/>
              <w:jc w:val="left"/>
            </w:pPr>
            <w:r>
              <w:rPr>
                <w:sz w:val="17"/>
              </w:rPr>
              <w:t xml:space="preserve">Same as R1-2.3.</w:t>
            </w:r>
          </w:p>
        </w:tc>
      </w:tr>
      <w:tr>
        <w:tc>
          <w:tcPr>
            <w:tcW w:w="793" w:type="dxa"/>
          </w:tcPr>
          <w:p>
            <w:pPr>
              <w:pStyle w:val="Compact"/>
              <w:jc w:val="left"/>
            </w:pPr>
            <w:r>
              <w:rPr>
                <w:sz w:val="17"/>
              </w:rPr>
              <w:t xml:space="preserve">R2-8</w:t>
            </w:r>
          </w:p>
        </w:tc>
        <w:tc>
          <w:tcPr>
            <w:tcW w:w="1927" w:type="dxa"/>
          </w:tcPr>
          <w:p>
            <w:pPr>
              <w:pStyle w:val="Compact"/>
              <w:jc w:val="left"/>
            </w:pPr>
            <w:r>
              <w:rPr>
                <w:sz w:val="17"/>
              </w:rPr>
              <w:t xml:space="preserve">Report robustness, not best seed; compare at presentation level</w:t>
            </w:r>
          </w:p>
        </w:tc>
        <w:tc>
          <w:tcPr>
            <w:tcW w:w="1701" w:type="dxa"/>
          </w:tcPr>
          <w:p>
            <w:pPr>
              <w:pStyle w:val="Compact"/>
              <w:jc w:val="left"/>
            </w:pPr>
            <w:r>
              <w:rPr>
                <w:sz w:val="17"/>
              </w:rPr>
              <w:t xml:space="preserve">Ten seeds; presentation-level comparison declined</w:t>
            </w:r>
          </w:p>
        </w:tc>
        <w:tc>
          <w:tcPr>
            <w:tcW w:w="1134" w:type="dxa"/>
          </w:tcPr>
          <w:p>
            <w:pPr>
              <w:pStyle w:val="Compact"/>
              <w:jc w:val="left"/>
            </w:pPr>
            <w:r>
              <w:rPr>
                <w:sz w:val="17"/>
              </w:rPr>
              <w:t xml:space="preserve">Partly</w:t>
            </w:r>
          </w:p>
        </w:tc>
        <w:tc>
          <w:tcPr>
            <w:tcW w:w="1474" w:type="dxa"/>
          </w:tcPr>
          <w:p>
            <w:pPr>
              <w:pStyle w:val="Compact"/>
              <w:jc w:val="left"/>
            </w:pPr>
            <w:r>
              <w:rPr>
                <w:sz w:val="17"/>
              </w:rPr>
              <w:t xml:space="preserve">Tables 9–10</w:t>
            </w:r>
          </w:p>
        </w:tc>
        <w:tc>
          <w:tcPr>
            <w:tcW w:w="1304" w:type="dxa"/>
            <w:shd w:val="clear" w:fill="FFEB9C"/>
          </w:tcPr>
          <w:p>
            <w:pPr>
              <w:pStyle w:val="Compact"/>
              <w:jc w:val="left"/>
            </w:pPr>
            <w:r>
              <w:rPr>
                <w:b/>
                <w:sz w:val="17"/>
              </w:rPr>
              <w:t xml:space="preserve">PARTIALLY ADDRESSED</w:t>
            </w:r>
          </w:p>
        </w:tc>
        <w:tc>
          <w:tcPr>
            <w:tcW w:w="3402" w:type="dxa"/>
          </w:tcPr>
          <w:p>
            <w:pPr>
              <w:pStyle w:val="Compact"/>
              <w:jc w:val="left"/>
            </w:pPr>
            <w:r>
              <w:rPr>
                <w:sz w:val="17"/>
              </w:rPr>
              <w:t xml:space="preserve">The reason given for declining is weak. Per-presentation PR-AUC on the 22 presentations is still meaningful and would also answer the module-ID concern.</w:t>
            </w:r>
          </w:p>
        </w:tc>
        <w:tc>
          <w:tcPr>
            <w:tcW w:w="3061" w:type="dxa"/>
          </w:tcPr>
          <w:p>
            <w:pPr>
              <w:pStyle w:val="Compact"/>
              <w:jc w:val="left"/>
            </w:pPr>
            <w:r>
              <w:rPr>
                <w:sz w:val="17"/>
              </w:rPr>
              <w:t xml:space="preserve">Report per-presentation PR-AUC (supplementary table) for EBB-Net vs LightGBM.</w:t>
            </w:r>
          </w:p>
        </w:tc>
      </w:tr>
      <w:tr>
        <w:tc>
          <w:tcPr>
            <w:tcW w:w="793" w:type="dxa"/>
          </w:tcPr>
          <w:p>
            <w:pPr>
              <w:pStyle w:val="Compact"/>
              <w:jc w:val="left"/>
            </w:pPr>
            <w:r>
              <w:rPr>
                <w:sz w:val="17"/>
              </w:rPr>
              <w:t xml:space="preserve">R2-9</w:t>
            </w:r>
          </w:p>
        </w:tc>
        <w:tc>
          <w:tcPr>
            <w:tcW w:w="1927" w:type="dxa"/>
          </w:tcPr>
          <w:p>
            <w:pPr>
              <w:pStyle w:val="Compact"/>
              <w:jc w:val="left"/>
            </w:pPr>
            <w:r>
              <w:rPr>
                <w:sz w:val="17"/>
              </w:rPr>
              <w:t xml:space="preserve">Clarify novelty; ablate cross-student attention and each loss; report parameters and cost</w:t>
            </w:r>
          </w:p>
        </w:tc>
        <w:tc>
          <w:tcPr>
            <w:tcW w:w="1701" w:type="dxa"/>
          </w:tcPr>
          <w:p>
            <w:pPr>
              <w:pStyle w:val="Compact"/>
              <w:jc w:val="left"/>
            </w:pPr>
            <w:r>
              <w:rPr>
                <w:sz w:val="17"/>
              </w:rPr>
              <w:t xml:space="preserve">Parameters and cost reported; novelty contrast not added</w:t>
            </w:r>
          </w:p>
        </w:tc>
        <w:tc>
          <w:tcPr>
            <w:tcW w:w="1134" w:type="dxa"/>
          </w:tcPr>
          <w:p>
            <w:pPr>
              <w:pStyle w:val="Compact"/>
              <w:jc w:val="left"/>
            </w:pPr>
            <w:r>
              <w:rPr>
                <w:sz w:val="17"/>
              </w:rPr>
              <w:t xml:space="preserve">Partly</w:t>
            </w:r>
          </w:p>
        </w:tc>
        <w:tc>
          <w:tcPr>
            <w:tcW w:w="1474" w:type="dxa"/>
          </w:tcPr>
          <w:p>
            <w:pPr>
              <w:pStyle w:val="Compact"/>
              <w:jc w:val="left"/>
            </w:pPr>
            <w:r>
              <w:rPr>
                <w:sz w:val="17"/>
              </w:rPr>
              <w:t xml:space="preserve">Table 4, Table 12, Novelty paragraph</w:t>
            </w:r>
          </w:p>
        </w:tc>
        <w:tc>
          <w:tcPr>
            <w:tcW w:w="1304" w:type="dxa"/>
            <w:shd w:val="clear" w:fill="FFEB9C"/>
          </w:tcPr>
          <w:p>
            <w:pPr>
              <w:pStyle w:val="Compact"/>
              <w:jc w:val="left"/>
            </w:pPr>
            <w:r>
              <w:rPr>
                <w:b/>
                <w:sz w:val="17"/>
              </w:rPr>
              <w:t xml:space="preserve">PARTIALLY ADDRESSED</w:t>
            </w:r>
          </w:p>
        </w:tc>
        <w:tc>
          <w:tcPr>
            <w:tcW w:w="3402" w:type="dxa"/>
          </w:tcPr>
          <w:p>
            <w:pPr>
              <w:pStyle w:val="Compact"/>
              <w:jc w:val="left"/>
            </w:pPr>
            <w:r>
              <w:rPr>
                <w:sz w:val="17"/>
              </w:rPr>
              <w:t xml:space="preserve">The Novelty paragraph lists components but does not contrast them with prior FiLM, FT-Transformer or TCN work. No methods references are cited. A3 trains slower than the full model (633.9 s vs 477.7 s) without explanation.</w:t>
            </w:r>
          </w:p>
        </w:tc>
        <w:tc>
          <w:tcPr>
            <w:tcW w:w="3061" w:type="dxa"/>
          </w:tcPr>
          <w:p>
            <w:pPr>
              <w:pStyle w:val="Compact"/>
              <w:jc w:val="left"/>
            </w:pPr>
            <w:r>
              <w:rPr>
                <w:sz w:val="17"/>
              </w:rPr>
              <w:t xml:space="preserve">Add a contrast paragraph with citations. Explain the A3 timing.</w:t>
            </w:r>
          </w:p>
        </w:tc>
      </w:tr>
      <w:tr>
        <w:tc>
          <w:tcPr>
            <w:tcW w:w="793" w:type="dxa"/>
          </w:tcPr>
          <w:p>
            <w:pPr>
              <w:pStyle w:val="Compact"/>
              <w:jc w:val="left"/>
            </w:pPr>
            <w:r>
              <w:rPr>
                <w:sz w:val="17"/>
              </w:rPr>
              <w:t xml:space="preserve">R2-10</w:t>
            </w:r>
          </w:p>
        </w:tc>
        <w:tc>
          <w:tcPr>
            <w:tcW w:w="1927" w:type="dxa"/>
          </w:tcPr>
          <w:p>
            <w:pPr>
              <w:pStyle w:val="Compact"/>
              <w:jc w:val="left"/>
            </w:pPr>
            <w:r>
              <w:rPr>
                <w:sz w:val="17"/>
              </w:rPr>
              <w:t xml:space="preserve">Feature dictionary, missing-data rules, equations, notation, naming consistency</w:t>
            </w:r>
          </w:p>
        </w:tc>
        <w:tc>
          <w:tcPr>
            <w:tcW w:w="1701" w:type="dxa"/>
          </w:tcPr>
          <w:p>
            <w:pPr>
              <w:pStyle w:val="Compact"/>
              <w:jc w:val="left"/>
            </w:pPr>
            <w:r>
              <w:rPr>
                <w:sz w:val="17"/>
              </w:rPr>
              <w:t xml:space="preserve">Naming consistent; no CAFE-Net mixing remains</w:t>
            </w:r>
          </w:p>
        </w:tc>
        <w:tc>
          <w:tcPr>
            <w:tcW w:w="1134" w:type="dxa"/>
          </w:tcPr>
          <w:p>
            <w:pPr>
              <w:pStyle w:val="Compact"/>
              <w:jc w:val="left"/>
            </w:pPr>
            <w:r>
              <w:rPr>
                <w:sz w:val="17"/>
              </w:rPr>
              <w:t xml:space="preserve">Partly</w:t>
            </w:r>
          </w:p>
        </w:tc>
        <w:tc>
          <w:tcPr>
            <w:tcW w:w="1474" w:type="dxa"/>
          </w:tcPr>
          <w:p>
            <w:pPr>
              <w:pStyle w:val="Compact"/>
              <w:jc w:val="left"/>
            </w:pPr>
            <w:r>
              <w:rPr>
                <w:sz w:val="17"/>
              </w:rPr>
              <w:t xml:space="preserve">§3.1–3.3; §4.6.2</w:t>
            </w:r>
          </w:p>
        </w:tc>
        <w:tc>
          <w:tcPr>
            <w:tcW w:w="1304" w:type="dxa"/>
            <w:shd w:val="clear" w:fill="FFEB9C"/>
          </w:tcPr>
          <w:p>
            <w:pPr>
              <w:pStyle w:val="Compact"/>
              <w:jc w:val="left"/>
            </w:pPr>
            <w:r>
              <w:rPr>
                <w:b/>
                <w:sz w:val="17"/>
              </w:rPr>
              <w:t xml:space="preserve">PARTIALLY ADDRESSED</w:t>
            </w:r>
          </w:p>
        </w:tc>
        <w:tc>
          <w:tcPr>
            <w:tcW w:w="3402" w:type="dxa"/>
          </w:tcPr>
          <w:p>
            <w:pPr>
              <w:pStyle w:val="Compact"/>
              <w:jc w:val="left"/>
            </w:pPr>
            <w:r>
              <w:rPr>
                <w:sz w:val="17"/>
              </w:rPr>
              <w:t xml:space="preserve">“</w:t>
            </w:r>
            <w:r>
              <w:rPr>
                <w:sz w:val="17"/>
              </w:rPr>
              <w:t xml:space="preserve">CAFE-Net</w:t>
            </w:r>
            <w:r>
              <w:rPr>
                <w:sz w:val="17"/>
              </w:rPr>
              <w:t xml:space="preserve">”</w:t>
            </w:r>
            <w:r>
              <w:rPr>
                <w:sz w:val="17"/>
              </w:rPr>
              <w:t xml:space="preserve"> </w:t>
            </w:r>
            <w:r>
              <w:rPr>
                <w:sz w:val="17"/>
              </w:rPr>
              <w:t xml:space="preserve">still appears in §4.6.2, so the response is factually wrong. The feature dictionary was not added. The notation errors listed under E4 remain.</w:t>
            </w:r>
          </w:p>
        </w:tc>
        <w:tc>
          <w:tcPr>
            <w:tcW w:w="3061" w:type="dxa"/>
          </w:tcPr>
          <w:p>
            <w:pPr>
              <w:pStyle w:val="Compact"/>
              <w:jc w:val="left"/>
            </w:pPr>
            <w:r>
              <w:rPr>
                <w:sz w:val="17"/>
              </w:rPr>
              <w:t xml:space="preserve">Delete the CAFE-Net mention. Add Table S1.</w:t>
            </w:r>
          </w:p>
        </w:tc>
      </w:tr>
    </w:tbl>
    <w:bookmarkEnd w:id="20"/>
    <w:bookmarkStart w:id="21" w:name="critical-issues-remaining"/>
    <w:p>
      <w:pPr>
        <w:pStyle w:val="Heading2"/>
      </w:pPr>
      <w:r>
        <w:t xml:space="preserve">1. Critical Issues Remaining</w:t>
      </w:r>
    </w:p>
    <w:p>
      <w:pPr>
        <w:numPr>
          <w:ilvl w:val="0"/>
          <w:numId w:val="1001"/>
        </w:numPr>
        <w:pStyle w:val="Compact"/>
      </w:pPr>
      <w:r>
        <w:rPr>
          <w:bCs/>
          <w:b/>
        </w:rPr>
        <w:t xml:space="preserve">False significance claims.</w:t>
      </w:r>
      <w:r>
        <w:t xml:space="preserve"> </w:t>
      </w:r>
      <w:r>
        <w:t xml:space="preserve">§4.6 says the advantage</w:t>
      </w:r>
      <w:r>
        <w:t xml:space="preserve"> </w:t>
      </w:r>
      <w:r>
        <w:t xml:space="preserve">“</w:t>
      </w:r>
      <w:r>
        <w:t xml:space="preserve">is statistically significant after Holm-Bonferroni correction</w:t>
      </w:r>
      <w:r>
        <w:t xml:space="preserve">”</w:t>
      </w:r>
      <w:r>
        <w:t xml:space="preserve">, and the Limitations repeat this. Every Holm p in Table 11 is 0.117, which is above 0.05. With n = 10 seeds and 36 tests, the smallest attainable Holm p is 0.070, so significance is impossible under this design. The reported 0.117 also does not match the stated 36 tests (it implies 60).</w:t>
      </w:r>
    </w:p>
    <w:p>
      <w:pPr>
        <w:numPr>
          <w:ilvl w:val="0"/>
          <w:numId w:val="1001"/>
        </w:numPr>
        <w:pStyle w:val="Compact"/>
      </w:pPr>
      <w:r>
        <w:rPr>
          <w:bCs/>
          <w:b/>
        </w:rPr>
        <w:t xml:space="preserve">Mixed 3-seed and 10-seed results.</w:t>
      </w:r>
      <w:r>
        <w:t xml:space="preserve"> </w:t>
      </w:r>
      <w:r>
        <w:t xml:space="preserve">Tables 1, 5, 6, 7 and 8, Figs. 3–4, §3.5, §4.3 and the Conclusion use 3-seed values. Tables 9–11 and the abstract use 10-seed values. Table 7 and the EBB-Net row of Table 9 disagree on F1, precision and recall.</w:t>
      </w:r>
    </w:p>
    <w:p>
      <w:pPr>
        <w:numPr>
          <w:ilvl w:val="0"/>
          <w:numId w:val="1001"/>
        </w:numPr>
        <w:pStyle w:val="Compact"/>
      </w:pPr>
      <w:r>
        <w:rPr>
          <w:bCs/>
          <w:b/>
        </w:rPr>
        <w:t xml:space="preserve">Author-to-author notes left in the manuscript.</w:t>
      </w:r>
      <w:r>
        <w:t xml:space="preserve"> </w:t>
      </w:r>
      <w:r>
        <w:t xml:space="preserve">The paragraph beginning</w:t>
      </w:r>
      <w:r>
        <w:t xml:space="preserve"> </w:t>
      </w:r>
      <w:r>
        <w:t xml:space="preserve">“</w:t>
      </w:r>
      <w:r>
        <w:t xml:space="preserve">Note: the calibrated ensemble in Table 8…</w:t>
      </w:r>
      <w:r>
        <w:t xml:space="preserve">”</w:t>
      </w:r>
      <w:r>
        <w:t xml:space="preserve"> </w:t>
      </w:r>
      <w:r>
        <w:t xml:space="preserve">(end of §4.3) and the Figure 4 caption (</w:t>
      </w:r>
      <w:r>
        <w:t xml:space="preserve">“</w:t>
      </w:r>
      <w:r>
        <w:t xml:space="preserve">figure not yet regenerated… values shown are illustrative</w:t>
      </w:r>
      <w:r>
        <w:t xml:space="preserve">”</w:t>
      </w:r>
      <w:r>
        <w:t xml:space="preserve">) will trigger an immediate editorial query.</w:t>
      </w:r>
    </w:p>
    <w:p>
      <w:pPr>
        <w:numPr>
          <w:ilvl w:val="0"/>
          <w:numId w:val="1001"/>
        </w:numPr>
        <w:pStyle w:val="Compact"/>
      </w:pPr>
      <w:r>
        <w:rPr>
          <w:bCs/>
          <w:b/>
        </w:rPr>
        <w:t xml:space="preserve">§4.5 narrative uses old 3-seed numbers.</w:t>
      </w:r>
      <w:r>
        <w:t xml:space="preserve"> </w:t>
      </w:r>
      <w:r>
        <w:t xml:space="preserve">It reports A1 PR-AUC as 0.8075 (Table 9: 0.8076) and A3 recall as 0.6856 (Table 9: 0.6891). It says A4</w:t>
      </w:r>
      <w:r>
        <w:t xml:space="preserve"> </w:t>
      </w:r>
      <w:r>
        <w:t xml:space="preserve">“</w:t>
      </w:r>
      <w:r>
        <w:t xml:space="preserve">shows a similar shift</w:t>
      </w:r>
      <w:r>
        <w:t xml:space="preserve">”</w:t>
      </w:r>
      <w:r>
        <w:t xml:space="preserve"> </w:t>
      </w:r>
      <w:r>
        <w:t xml:space="preserve">with lower recall, but in Table 9 A4 recall (0.6978) is higher than the full model’s.</w:t>
      </w:r>
    </w:p>
    <w:p>
      <w:pPr>
        <w:numPr>
          <w:ilvl w:val="0"/>
          <w:numId w:val="1001"/>
        </w:numPr>
        <w:pStyle w:val="Compact"/>
      </w:pPr>
      <w:r>
        <w:rPr>
          <w:bCs/>
          <w:b/>
        </w:rPr>
        <w:t xml:space="preserve">Temporal held-out split not run</w:t>
      </w:r>
      <w:r>
        <w:t xml:space="preserve"> </w:t>
      </w:r>
      <w:r>
        <w:t xml:space="preserve">(R1-1.1, R2-1). Both reviewers asked for it, and the response defers the decision to the editor.</w:t>
      </w:r>
    </w:p>
    <w:p>
      <w:pPr>
        <w:numPr>
          <w:ilvl w:val="0"/>
          <w:numId w:val="1001"/>
        </w:numPr>
        <w:pStyle w:val="Compact"/>
      </w:pPr>
      <w:r>
        <w:rPr>
          <w:bCs/>
          <w:b/>
        </w:rPr>
        <w:t xml:space="preserve">Leakage diagnostics not run</w:t>
      </w:r>
      <w:r>
        <w:t xml:space="preserve"> </w:t>
      </w:r>
      <w:r>
        <w:t xml:space="preserve">(R1-Req2), while module indicators appear in the LIME explanation.</w:t>
      </w:r>
    </w:p>
    <w:p>
      <w:pPr>
        <w:numPr>
          <w:ilvl w:val="0"/>
          <w:numId w:val="1001"/>
        </w:numPr>
        <w:pStyle w:val="Compact"/>
      </w:pPr>
      <w:r>
        <w:rPr>
          <w:bCs/>
          <w:b/>
        </w:rPr>
        <w:t xml:space="preserve">Reviewer-facing text inside the manuscript.</w:t>
      </w:r>
      <w:r>
        <w:t xml:space="preserve"> </w:t>
      </w:r>
      <w:r>
        <w:t xml:space="preserve">The §4.6.2 clause about the</w:t>
      </w:r>
      <w:r>
        <w:t xml:space="preserve"> </w:t>
      </w:r>
      <w:r>
        <w:t xml:space="preserve">“</w:t>
      </w:r>
      <w:r>
        <w:t xml:space="preserve">prior CAFE-Net review</w:t>
      </w:r>
      <w:r>
        <w:t xml:space="preserve">”</w:t>
      </w:r>
      <w:r>
        <w:t xml:space="preserve"> </w:t>
      </w:r>
      <w:r>
        <w:t xml:space="preserve">must be removed.</w:t>
      </w:r>
    </w:p>
    <w:p>
      <w:pPr>
        <w:numPr>
          <w:ilvl w:val="0"/>
          <w:numId w:val="1001"/>
        </w:numPr>
        <w:pStyle w:val="Compact"/>
      </w:pPr>
      <w:r>
        <w:rPr>
          <w:bCs/>
          <w:b/>
        </w:rPr>
        <w:t xml:space="preserve">Code availability contradiction.</w:t>
      </w:r>
      <w:r>
        <w:t xml:space="preserve"> </w:t>
      </w:r>
      <w:r>
        <w:t xml:space="preserve">The manuscript says code is attached; the response says a placeholder is pending. No DOI is given.</w:t>
      </w:r>
    </w:p>
    <w:p>
      <w:pPr>
        <w:numPr>
          <w:ilvl w:val="0"/>
          <w:numId w:val="1001"/>
        </w:numPr>
        <w:pStyle w:val="Compact"/>
      </w:pPr>
      <w:r>
        <w:rPr>
          <w:bCs/>
          <w:b/>
        </w:rPr>
        <w:t xml:space="preserve">Overclaim in §4.6.</w:t>
      </w:r>
      <w:r>
        <w:t xml:space="preserve"> </w:t>
      </w:r>
      <w:r>
        <w:t xml:space="preserve">The paper states EBB-Net leads</w:t>
      </w:r>
      <w:r>
        <w:t xml:space="preserve"> </w:t>
      </w:r>
      <w:r>
        <w:t xml:space="preserve">“</w:t>
      </w:r>
      <w:r>
        <w:t xml:space="preserve">on every ranking and probability metric</w:t>
      </w:r>
      <w:r>
        <w:t xml:space="preserve">”</w:t>
      </w:r>
      <w:r>
        <w:t xml:space="preserve">. This is false: MLP has a better ECE (0.0051), LightGBM a higher precision (0.7418) and TCN a higher recall (0.6994).</w:t>
      </w:r>
    </w:p>
    <w:p>
      <w:pPr>
        <w:numPr>
          <w:ilvl w:val="0"/>
          <w:numId w:val="1001"/>
        </w:numPr>
        <w:pStyle w:val="Compact"/>
      </w:pPr>
      <w:r>
        <w:rPr>
          <w:bCs/>
          <w:b/>
        </w:rPr>
        <w:t xml:space="preserve">No methods or dataset references.</w:t>
      </w:r>
      <w:r>
        <w:t xml:space="preserve"> </w:t>
      </w:r>
      <w:r>
        <w:t xml:space="preserve">OULAD (Kuzilek et al., 2017), FiLM, TCN, FT-Transformer, SHAP, LIME, temperature scaling, conformal prediction and the Holm procedure are used without citation. Kuzilek et al. (2017) appears only in the Data Availability statement and is absent from the reference list.</w:t>
      </w:r>
    </w:p>
    <w:bookmarkEnd w:id="21"/>
    <w:bookmarkStart w:id="22" w:name="minor-issues-remaining"/>
    <w:p>
      <w:pPr>
        <w:pStyle w:val="Heading2"/>
      </w:pPr>
      <w:r>
        <w:t xml:space="preserve">2. Minor Issues Remaining</w:t>
      </w:r>
    </w:p>
    <w:p>
      <w:pPr>
        <w:numPr>
          <w:ilvl w:val="0"/>
          <w:numId w:val="1002"/>
        </w:numPr>
        <w:pStyle w:val="Compact"/>
      </w:pPr>
      <w:r>
        <w:rPr>
          <w:bCs/>
          <w:b/>
        </w:rPr>
        <w:t xml:space="preserve">Abstract.</w:t>
      </w:r>
      <w:r>
        <w:t xml:space="preserve"> </w:t>
      </w:r>
      <w:r>
        <w:t xml:space="preserve">“</w:t>
      </w:r>
      <w:r>
        <w:t xml:space="preserve">this paper proposes EBB-Net a context-adaptive</w:t>
      </w:r>
      <w:r>
        <w:t xml:space="preserve">”</w:t>
      </w:r>
      <w:r>
        <w:t xml:space="preserve"> </w:t>
      </w:r>
      <w:r>
        <w:t xml:space="preserve">is missing a comma.</w:t>
      </w:r>
      <w:r>
        <w:t xml:space="preserve"> </w:t>
      </w:r>
      <w:r>
        <w:t xml:space="preserve">“</w:t>
      </w:r>
      <w:r>
        <w:t xml:space="preserve">…modulates them… Then models six-week trajectories…</w:t>
      </w:r>
      <w:r>
        <w:t xml:space="preserve">”</w:t>
      </w:r>
      <w:r>
        <w:t xml:space="preserve"> </w:t>
      </w:r>
      <w:r>
        <w:t xml:space="preserve">is a sentence fragment.</w:t>
      </w:r>
      <w:r>
        <w:t xml:space="preserve"> </w:t>
      </w:r>
      <w:r>
        <w:t xml:space="preserve">“</w:t>
      </w:r>
      <w:r>
        <w:t xml:space="preserve">SHAP and LIME explaining the predictions</w:t>
      </w:r>
      <w:r>
        <w:t xml:space="preserve">”</w:t>
      </w:r>
      <w:r>
        <w:t xml:space="preserve"> </w:t>
      </w:r>
      <w:r>
        <w:t xml:space="preserve">is awkward. The abstract is 234 words, which is within the limit.</w:t>
      </w:r>
    </w:p>
    <w:p>
      <w:pPr>
        <w:numPr>
          <w:ilvl w:val="0"/>
          <w:numId w:val="1002"/>
        </w:numPr>
        <w:pStyle w:val="Compact"/>
      </w:pPr>
      <w:r>
        <w:rPr>
          <w:bCs/>
          <w:b/>
        </w:rPr>
        <w:t xml:space="preserve">Table 1, last row.</w:t>
      </w:r>
      <w:r>
        <w:t xml:space="preserve"> </w:t>
      </w:r>
      <w:r>
        <w:t xml:space="preserve">“</w:t>
      </w:r>
      <w:r>
        <w:t xml:space="preserve">These are the mean metrices across 3 seeds</w:t>
      </w:r>
      <w:r>
        <w:t xml:space="preserve">”</w:t>
      </w:r>
      <w:r>
        <w:t xml:space="preserve"> </w:t>
      </w:r>
      <w:r>
        <w:t xml:space="preserve">contains a typo (</w:t>
      </w:r>
      <w:r>
        <w:t xml:space="preserve">“</w:t>
      </w:r>
      <w:r>
        <w:t xml:space="preserve">metrices</w:t>
      </w:r>
      <w:r>
        <w:t xml:space="preserve">”</w:t>
      </w:r>
      <w:r>
        <w:t xml:space="preserve">), and the values in that row are 10-seed values.</w:t>
      </w:r>
    </w:p>
    <w:p>
      <w:pPr>
        <w:numPr>
          <w:ilvl w:val="0"/>
          <w:numId w:val="1002"/>
        </w:numPr>
        <w:pStyle w:val="Compact"/>
      </w:pPr>
      <w:r>
        <w:rPr>
          <w:bCs/>
          <w:b/>
        </w:rPr>
        <w:t xml:space="preserve">Eq. 9 / Eq. 10 text.</w:t>
      </w:r>
      <w:r>
        <w:t xml:space="preserve"> </w:t>
      </w:r>
      <w:r>
        <w:t xml:space="preserve">“</w:t>
      </w:r>
      <w:r>
        <w:t xml:space="preserve">a single logit , which</w:t>
      </w:r>
      <w:r>
        <w:t xml:space="preserve">”</w:t>
      </w:r>
      <w:r>
        <w:t xml:space="preserve"> </w:t>
      </w:r>
      <w:r>
        <w:t xml:space="preserve">is missing the symbol.</w:t>
      </w:r>
      <w:r>
        <w:t xml:space="preserve"> </w:t>
      </w:r>
      <w:r>
        <w:t xml:space="preserve">“</w:t>
      </w:r>
      <w:r>
        <w:t xml:space="preserve">true decline label ŷt</w:t>
      </w:r>
      <w:r>
        <w:t xml:space="preserve">”</w:t>
      </w:r>
      <w:r>
        <w:t xml:space="preserve"> </w:t>
      </w:r>
      <w:r>
        <w:t xml:space="preserve">should read y_t.</w:t>
      </w:r>
    </w:p>
    <w:p>
      <w:pPr>
        <w:numPr>
          <w:ilvl w:val="0"/>
          <w:numId w:val="1002"/>
        </w:numPr>
        <w:pStyle w:val="Compact"/>
      </w:pPr>
      <w:r>
        <w:rPr>
          <w:bCs/>
          <w:b/>
        </w:rPr>
        <w:t xml:space="preserve">Unnumbered display equations.</w:t>
      </w:r>
      <w:r>
        <w:t xml:space="preserve"> </w:t>
      </w:r>
      <w:r>
        <w:t xml:space="preserve">L_δ (after Eq. 12), D_cur (Eq. 6) and the λ line need numbers. d_t and W_t need definitions.</w:t>
      </w:r>
    </w:p>
    <w:p>
      <w:pPr>
        <w:numPr>
          <w:ilvl w:val="0"/>
          <w:numId w:val="1002"/>
        </w:numPr>
        <w:pStyle w:val="Compact"/>
      </w:pPr>
      <w:r>
        <w:rPr>
          <w:bCs/>
          <w:b/>
        </w:rPr>
        <w:t xml:space="preserve">Mixed spelling.</w:t>
      </w:r>
      <w:r>
        <w:t xml:space="preserve"> </w:t>
      </w:r>
      <w:r>
        <w:t xml:space="preserve">“</w:t>
      </w:r>
      <w:r>
        <w:t xml:space="preserve">behaviour</w:t>
      </w:r>
      <w:r>
        <w:t xml:space="preserve">”</w:t>
      </w:r>
      <w:r>
        <w:t xml:space="preserve">,</w:t>
      </w:r>
      <w:r>
        <w:t xml:space="preserve"> </w:t>
      </w:r>
      <w:r>
        <w:t xml:space="preserve">“</w:t>
      </w:r>
      <w:r>
        <w:t xml:space="preserve">organises</w:t>
      </w:r>
      <w:r>
        <w:t xml:space="preserve">”</w:t>
      </w:r>
      <w:r>
        <w:t xml:space="preserve">,</w:t>
      </w:r>
      <w:r>
        <w:t xml:space="preserve"> </w:t>
      </w:r>
      <w:r>
        <w:t xml:space="preserve">“</w:t>
      </w:r>
      <w:r>
        <w:t xml:space="preserve">normalisation</w:t>
      </w:r>
      <w:r>
        <w:t xml:space="preserve">”</w:t>
      </w:r>
      <w:r>
        <w:t xml:space="preserve"> </w:t>
      </w:r>
      <w:r>
        <w:t xml:space="preserve">(British) appear alongside</w:t>
      </w:r>
      <w:r>
        <w:t xml:space="preserve"> </w:t>
      </w:r>
      <w:r>
        <w:t xml:space="preserve">“</w:t>
      </w:r>
      <w:r>
        <w:t xml:space="preserve">organized</w:t>
      </w:r>
      <w:r>
        <w:t xml:space="preserve">”</w:t>
      </w:r>
      <w:r>
        <w:t xml:space="preserve">,</w:t>
      </w:r>
      <w:r>
        <w:t xml:space="preserve"> </w:t>
      </w:r>
      <w:r>
        <w:t xml:space="preserve">“</w:t>
      </w:r>
      <w:r>
        <w:t xml:space="preserve">standardized</w:t>
      </w:r>
      <w:r>
        <w:t xml:space="preserve">”</w:t>
      </w:r>
      <w:r>
        <w:t xml:space="preserve">,</w:t>
      </w:r>
      <w:r>
        <w:t xml:space="preserve"> </w:t>
      </w:r>
      <w:r>
        <w:t xml:space="preserve">“</w:t>
      </w:r>
      <w:r>
        <w:t xml:space="preserve">normalized</w:t>
      </w:r>
      <w:r>
        <w:t xml:space="preserve">”</w:t>
      </w:r>
      <w:r>
        <w:t xml:space="preserve"> </w:t>
      </w:r>
      <w:r>
        <w:t xml:space="preserve">(American).</w:t>
      </w:r>
      <w:r>
        <w:t xml:space="preserve"> </w:t>
      </w:r>
      <w:r>
        <w:t xml:space="preserve">“</w:t>
      </w:r>
      <w:r>
        <w:t xml:space="preserve">Enrollment</w:t>
      </w:r>
      <w:r>
        <w:t xml:space="preserve">”</w:t>
      </w:r>
      <w:r>
        <w:t xml:space="preserve"> </w:t>
      </w:r>
      <w:r>
        <w:t xml:space="preserve">and</w:t>
      </w:r>
      <w:r>
        <w:t xml:space="preserve"> </w:t>
      </w:r>
      <w:r>
        <w:t xml:space="preserve">“</w:t>
      </w:r>
      <w:r>
        <w:t xml:space="preserve">enrolment</w:t>
      </w:r>
      <w:r>
        <w:t xml:space="preserve">”</w:t>
      </w:r>
      <w:r>
        <w:t xml:space="preserve"> </w:t>
      </w:r>
      <w:r>
        <w:t xml:space="preserve">are both used in §3.1.</w:t>
      </w:r>
    </w:p>
    <w:p>
      <w:pPr>
        <w:numPr>
          <w:ilvl w:val="0"/>
          <w:numId w:val="1002"/>
        </w:numPr>
        <w:pStyle w:val="Compact"/>
      </w:pPr>
      <w:r>
        <w:rPr>
          <w:bCs/>
          <w:b/>
        </w:rPr>
        <w:t xml:space="preserve">Newly added text reads differently from the rest of the paper.</w:t>
      </w:r>
      <w:r>
        <w:t xml:space="preserve"> </w:t>
      </w:r>
      <w:r>
        <w:t xml:space="preserve">The final paragraph of §4.6, §4.6.1, §4.6.2 and the Limitations use long multi-clause sentences, em dashes and phrases such as</w:t>
      </w:r>
      <w:r>
        <w:t xml:space="preserve"> </w:t>
      </w:r>
      <w:r>
        <w:t xml:space="preserve">“</w:t>
      </w:r>
      <w:r>
        <w:t xml:space="preserve">Taken together</w:t>
      </w:r>
      <w:r>
        <w:t xml:space="preserve">”</w:t>
      </w:r>
      <w:r>
        <w:t xml:space="preserve">. Nine sentences exceed 45 words. Rewrite these in the paper’s short-sentence style.</w:t>
      </w:r>
    </w:p>
    <w:p>
      <w:pPr>
        <w:numPr>
          <w:ilvl w:val="0"/>
          <w:numId w:val="1002"/>
        </w:numPr>
        <w:pStyle w:val="Compact"/>
      </w:pPr>
      <w:r>
        <w:rPr>
          <w:bCs/>
          <w:b/>
        </w:rPr>
        <w:t xml:space="preserve">Limitations is misplaced.</w:t>
      </w:r>
      <w:r>
        <w:t xml:space="preserve"> </w:t>
      </w:r>
      <w:r>
        <w:t xml:space="preserve">It appears after Future Work and mostly recaps results. Place it before the Conclusion and limit it to limitations.</w:t>
      </w:r>
    </w:p>
    <w:p>
      <w:pPr>
        <w:numPr>
          <w:ilvl w:val="0"/>
          <w:numId w:val="1002"/>
        </w:numPr>
        <w:pStyle w:val="Compact"/>
      </w:pPr>
      <w:r>
        <w:rPr>
          <w:bCs/>
          <w:b/>
        </w:rPr>
        <w:t xml:space="preserve">No paper-organisation paragraph</w:t>
      </w:r>
      <w:r>
        <w:t xml:space="preserve"> </w:t>
      </w:r>
      <w:r>
        <w:t xml:space="preserve">at the end of the Introduction.</w:t>
      </w:r>
    </w:p>
    <w:p>
      <w:pPr>
        <w:numPr>
          <w:ilvl w:val="0"/>
          <w:numId w:val="1002"/>
        </w:numPr>
        <w:pStyle w:val="Compact"/>
      </w:pPr>
      <w:r>
        <w:rPr>
          <w:bCs/>
          <w:b/>
        </w:rPr>
        <w:t xml:space="preserve">References.</w:t>
      </w:r>
      <w:r>
        <w:t xml:space="preserve"> </w:t>
      </w:r>
      <w:r>
        <w:t xml:space="preserve">[11], [16] and [28] are conference papers and [7] is an arXiv preprint, so they should not be used in the problem definition or related work. [18] has no venue. [9] is formatted as a conference paper but is a journal article. Years mismatch for Kord et al. (text 2025, reference 2026) and Feng (text 2026, reference 2025). [12] has</w:t>
      </w:r>
      <w:r>
        <w:t xml:space="preserve"> </w:t>
      </w:r>
      <w:r>
        <w:t xml:space="preserve">“</w:t>
      </w:r>
      <w:r>
        <w:t xml:space="preserve">A. Kord et al.</w:t>
      </w:r>
      <w:r>
        <w:t xml:space="preserve">”</w:t>
      </w:r>
      <w:r>
        <w:t xml:space="preserve"> </w:t>
      </w:r>
      <w:r>
        <w:t xml:space="preserve">inside the title. [25] and [26] lack volume and page.</w:t>
      </w:r>
      <w:r>
        <w:t xml:space="preserve"> </w:t>
      </w:r>
      <w:r>
        <w:t xml:space="preserve">“</w:t>
      </w:r>
      <w:r>
        <w:t xml:space="preserve">Kanformer</w:t>
      </w:r>
      <w:r>
        <w:t xml:space="preserve">”</w:t>
      </w:r>
      <w:r>
        <w:t xml:space="preserve"> </w:t>
      </w:r>
      <w:r>
        <w:t xml:space="preserve">should be KANFormer.</w:t>
      </w:r>
      <w:r>
        <w:t xml:space="preserve"> </w:t>
      </w:r>
      <w:r>
        <w:t xml:space="preserve">“</w:t>
      </w:r>
      <w:r>
        <w:t xml:space="preserve">Khaoula And Soltane</w:t>
      </w:r>
      <w:r>
        <w:t xml:space="preserve">”</w:t>
      </w:r>
      <w:r>
        <w:t xml:space="preserve"> </w:t>
      </w:r>
      <w:r>
        <w:t xml:space="preserve">has an incorrect capital</w:t>
      </w:r>
      <w:r>
        <w:t xml:space="preserve"> </w:t>
      </w:r>
      <w:r>
        <w:t xml:space="preserve">“</w:t>
      </w:r>
      <w:r>
        <w:t xml:space="preserve">A</w:t>
      </w:r>
      <w:r>
        <w:t xml:space="preserve">”</w:t>
      </w:r>
      <w:r>
        <w:t xml:space="preserve">.</w:t>
      </w:r>
    </w:p>
    <w:p>
      <w:pPr>
        <w:numPr>
          <w:ilvl w:val="0"/>
          <w:numId w:val="1002"/>
        </w:numPr>
        <w:pStyle w:val="Compact"/>
      </w:pPr>
      <w:r>
        <w:rPr>
          <w:bCs/>
          <w:b/>
        </w:rPr>
        <w:t xml:space="preserve">Caption formatting.</w:t>
      </w:r>
      <w:r>
        <w:t xml:space="preserve"> </w:t>
      </w:r>
      <w:r>
        <w:t xml:space="preserve">Tables 11 and 12 have bold captions while the others do not. Table 12 says</w:t>
      </w:r>
      <w:r>
        <w:t xml:space="preserve"> </w:t>
      </w:r>
      <w:r>
        <w:t xml:space="preserve">“</w:t>
      </w:r>
      <w:r>
        <w:t xml:space="preserve">single GPU/CPU run</w:t>
      </w:r>
      <w:r>
        <w:t xml:space="preserve">”</w:t>
      </w:r>
      <w:r>
        <w:t xml:space="preserve"> </w:t>
      </w:r>
      <w:r>
        <w:t xml:space="preserve">without naming the hardware.</w:t>
      </w:r>
    </w:p>
    <w:p>
      <w:pPr>
        <w:numPr>
          <w:ilvl w:val="0"/>
          <w:numId w:val="1002"/>
        </w:numPr>
        <w:pStyle w:val="Compact"/>
      </w:pPr>
      <w:r>
        <w:rPr>
          <w:bCs/>
          <w:b/>
        </w:rPr>
        <w:t xml:space="preserve">Missing PR-AUC reference level.</w:t>
      </w:r>
      <w:r>
        <w:t xml:space="preserve"> </w:t>
      </w:r>
      <w:r>
        <w:t xml:space="preserve">The positive-class prevalence (about 0.555) is not stated, so readers cannot judge how much PR-AUC 0.81 improves on chance.</w:t>
      </w:r>
    </w:p>
    <w:p>
      <w:pPr>
        <w:numPr>
          <w:ilvl w:val="0"/>
          <w:numId w:val="1002"/>
        </w:numPr>
        <w:pStyle w:val="Compact"/>
      </w:pPr>
      <w:r>
        <w:rPr>
          <w:bCs/>
          <w:b/>
        </w:rPr>
        <w:t xml:space="preserve">Missing statements.</w:t>
      </w:r>
      <w:r>
        <w:t xml:space="preserve"> </w:t>
      </w:r>
      <w:r>
        <w:t xml:space="preserve">There is no ethics statement (for public de-identified data), no conflict-of-interest statement and no funding statement.</w:t>
      </w:r>
    </w:p>
    <w:p>
      <w:pPr>
        <w:numPr>
          <w:ilvl w:val="0"/>
          <w:numId w:val="1002"/>
        </w:numPr>
        <w:pStyle w:val="Compact"/>
      </w:pPr>
      <w:r>
        <w:rPr>
          <w:bCs/>
          <w:b/>
        </w:rPr>
        <w:t xml:space="preserve">§4.1 lists incomplete baselines.</w:t>
      </w:r>
      <w:r>
        <w:t xml:space="preserve"> </w:t>
      </w:r>
      <w:r>
        <w:t xml:space="preserve">It says</w:t>
      </w:r>
      <w:r>
        <w:t xml:space="preserve"> </w:t>
      </w:r>
      <w:r>
        <w:t xml:space="preserve">“</w:t>
      </w:r>
      <w:r>
        <w:t xml:space="preserve">three neural network SOTA models</w:t>
      </w:r>
      <w:r>
        <w:t xml:space="preserve">”</w:t>
      </w:r>
      <w:r>
        <w:t xml:space="preserve"> </w:t>
      </w:r>
      <w:r>
        <w:t xml:space="preserve">only. Calling MLP, GRU and TCN</w:t>
      </w:r>
      <w:r>
        <w:t xml:space="preserve"> </w:t>
      </w:r>
      <w:r>
        <w:t xml:space="preserve">“</w:t>
      </w:r>
      <w:r>
        <w:t xml:space="preserve">SOTA</w:t>
      </w:r>
      <w:r>
        <w:t xml:space="preserve">”</w:t>
      </w:r>
      <w:r>
        <w:t xml:space="preserve"> </w:t>
      </w:r>
      <w:r>
        <w:t xml:space="preserve">is also inaccurate;</w:t>
      </w:r>
      <w:r>
        <w:t xml:space="preserve"> </w:t>
      </w:r>
      <w:r>
        <w:t xml:space="preserve">“</w:t>
      </w:r>
      <w:r>
        <w:t xml:space="preserve">baselines</w:t>
      </w:r>
      <w:r>
        <w:t xml:space="preserve">”</w:t>
      </w:r>
      <w:r>
        <w:t xml:space="preserve"> </w:t>
      </w:r>
      <w:r>
        <w:t xml:space="preserve">is the right word.</w:t>
      </w:r>
    </w:p>
    <w:bookmarkEnd w:id="22"/>
    <w:bookmarkStart w:id="23" w:name="incorrect-author-responses"/>
    <w:p>
      <w:pPr>
        <w:pStyle w:val="Heading2"/>
      </w:pPr>
      <w:r>
        <w:t xml:space="preserve">3. Incorrect Author Responses</w:t>
      </w:r>
    </w:p>
    <w:tbl>
      <w:tblPr>
        <w:tblStyle w:val="Table"/>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W w:w="14798" w:type="dxa"/>
        <w:tblLayout w:type="fixed"/>
      </w:tblPr>
      <w:tblGrid>
        <w:gridCol w:w="2268"/>
        <w:gridCol w:w="5103"/>
        <w:gridCol w:w="7427"/>
      </w:tblGrid>
      <w:tr>
        <w:trPr>
          <w:tblHeader w:val="true"/>
          <w:tblHeader w:val="true"/>
        </w:trPr>
        <w:tc>
          <w:tcPr>
            <w:tcW w:w="2268" w:type="dxa"/>
            <w:shd w:val="clear" w:fill="DCE6F1"/>
          </w:tcPr>
          <w:p>
            <w:pPr>
              <w:pStyle w:val="Compact"/>
              <w:jc w:val="left"/>
            </w:pPr>
            <w:r>
              <w:rPr>
                <w:b/>
                <w:sz w:val="19"/>
              </w:rPr>
              <w:t xml:space="preserve">Response item</w:t>
            </w:r>
          </w:p>
        </w:tc>
        <w:tc>
          <w:tcPr>
            <w:tcW w:w="5103" w:type="dxa"/>
            <w:shd w:val="clear" w:fill="DCE6F1"/>
          </w:tcPr>
          <w:p>
            <w:pPr>
              <w:pStyle w:val="Compact"/>
              <w:jc w:val="left"/>
            </w:pPr>
            <w:r>
              <w:rPr>
                <w:b/>
                <w:sz w:val="19"/>
              </w:rPr>
              <w:t xml:space="preserve">Claim</w:t>
            </w:r>
          </w:p>
        </w:tc>
        <w:tc>
          <w:tcPr>
            <w:tcW w:w="7427" w:type="dxa"/>
            <w:shd w:val="clear" w:fill="DCE6F1"/>
          </w:tcPr>
          <w:p>
            <w:pPr>
              <w:pStyle w:val="Compact"/>
              <w:jc w:val="left"/>
            </w:pPr>
            <w:r>
              <w:rPr>
                <w:b/>
                <w:sz w:val="19"/>
              </w:rPr>
              <w:t xml:space="preserve">What the manuscript shows</w:t>
            </w:r>
          </w:p>
        </w:tc>
      </w:tr>
      <w:tr>
        <w:tc>
          <w:tcPr>
            <w:tcW w:w="2268" w:type="dxa"/>
          </w:tcPr>
          <w:p>
            <w:pPr>
              <w:pStyle w:val="Compact"/>
              <w:jc w:val="left"/>
            </w:pPr>
            <w:r>
              <w:rPr>
                <w:sz w:val="19"/>
              </w:rPr>
              <w:t xml:space="preserve">R1-2.2</w:t>
            </w:r>
          </w:p>
        </w:tc>
        <w:tc>
          <w:tcPr>
            <w:tcW w:w="5103" w:type="dxa"/>
          </w:tcPr>
          <w:p>
            <w:pPr>
              <w:pStyle w:val="Compact"/>
              <w:jc w:val="left"/>
            </w:pPr>
            <w:r>
              <w:rPr>
                <w:sz w:val="19"/>
              </w:rPr>
              <w:t xml:space="preserve">“</w:t>
            </w:r>
            <w:r>
              <w:rPr>
                <w:sz w:val="19"/>
              </w:rPr>
              <w:t xml:space="preserve">All headline numbers are now mean ± SD over ten seeds</w:t>
            </w:r>
            <w:r>
              <w:rPr>
                <w:sz w:val="19"/>
              </w:rPr>
              <w:t xml:space="preserve">”</w:t>
            </w:r>
          </w:p>
        </w:tc>
        <w:tc>
          <w:tcPr>
            <w:tcW w:w="7427" w:type="dxa"/>
          </w:tcPr>
          <w:p>
            <w:pPr>
              <w:pStyle w:val="Compact"/>
              <w:jc w:val="left"/>
            </w:pPr>
            <w:r>
              <w:rPr>
                <w:sz w:val="19"/>
              </w:rPr>
              <w:t xml:space="preserve">Tables 6–8, Figs. 3–4, Table 1 and the Conclusion are 3-seed</w:t>
            </w:r>
          </w:p>
        </w:tc>
      </w:tr>
      <w:tr>
        <w:tc>
          <w:tcPr>
            <w:tcW w:w="2268" w:type="dxa"/>
          </w:tcPr>
          <w:p>
            <w:pPr>
              <w:pStyle w:val="Compact"/>
              <w:jc w:val="left"/>
            </w:pPr>
            <w:r>
              <w:rPr>
                <w:sz w:val="19"/>
              </w:rPr>
              <w:t xml:space="preserve">R1-2.3</w:t>
            </w:r>
          </w:p>
        </w:tc>
        <w:tc>
          <w:tcPr>
            <w:tcW w:w="5103" w:type="dxa"/>
          </w:tcPr>
          <w:p>
            <w:pPr>
              <w:pStyle w:val="Compact"/>
              <w:jc w:val="left"/>
            </w:pPr>
            <w:r>
              <w:rPr>
                <w:sz w:val="19"/>
              </w:rPr>
              <w:t xml:space="preserve">Reports</w:t>
            </w:r>
            <w:r>
              <w:rPr>
                <w:sz w:val="19"/>
              </w:rPr>
              <w:t xml:space="preserve"> </w:t>
            </w:r>
            <w:r>
              <w:rPr>
                <w:sz w:val="19"/>
              </w:rPr>
              <w:t xml:space="preserve">“</w:t>
            </w:r>
            <w:r>
              <w:rPr>
                <w:sz w:val="19"/>
              </w:rPr>
              <w:t xml:space="preserve">the test statistic, the raw p-value</w:t>
            </w:r>
            <w:r>
              <w:rPr>
                <w:sz w:val="19"/>
              </w:rPr>
              <w:t xml:space="preserve">”</w:t>
            </w:r>
          </w:p>
        </w:tc>
        <w:tc>
          <w:tcPr>
            <w:tcW w:w="7427" w:type="dxa"/>
          </w:tcPr>
          <w:p>
            <w:pPr>
              <w:pStyle w:val="Compact"/>
              <w:jc w:val="left"/>
            </w:pPr>
            <w:r>
              <w:rPr>
                <w:sz w:val="19"/>
              </w:rPr>
              <w:t xml:space="preserve">Table 11 has neither</w:t>
            </w:r>
          </w:p>
        </w:tc>
      </w:tr>
      <w:tr>
        <w:tc>
          <w:tcPr>
            <w:tcW w:w="2268" w:type="dxa"/>
          </w:tcPr>
          <w:p>
            <w:pPr>
              <w:pStyle w:val="Compact"/>
              <w:jc w:val="left"/>
            </w:pPr>
            <w:r>
              <w:rPr>
                <w:sz w:val="19"/>
              </w:rPr>
              <w:t xml:space="preserve">R1-2.3</w:t>
            </w:r>
          </w:p>
        </w:tc>
        <w:tc>
          <w:tcPr>
            <w:tcW w:w="5103" w:type="dxa"/>
          </w:tcPr>
          <w:p>
            <w:pPr>
              <w:pStyle w:val="Compact"/>
              <w:jc w:val="left"/>
            </w:pPr>
            <w:r>
              <w:rPr>
                <w:sz w:val="19"/>
              </w:rPr>
              <w:t xml:space="preserve">“</w:t>
            </w:r>
            <w:r>
              <w:rPr>
                <w:sz w:val="19"/>
              </w:rPr>
              <w:t xml:space="preserve">no reconciliation discrepancy… can arise</w:t>
            </w:r>
            <w:r>
              <w:rPr>
                <w:sz w:val="19"/>
              </w:rPr>
              <w:t xml:space="preserve">”</w:t>
            </w:r>
          </w:p>
        </w:tc>
        <w:tc>
          <w:tcPr>
            <w:tcW w:w="7427" w:type="dxa"/>
          </w:tcPr>
          <w:p>
            <w:pPr>
              <w:pStyle w:val="Compact"/>
              <w:jc w:val="left"/>
            </w:pPr>
            <w:r>
              <w:rPr>
                <w:sz w:val="19"/>
              </w:rPr>
              <w:t xml:space="preserve">Table 7 and Table 9 disagree, and the Holm p values do not match 36 tests</w:t>
            </w:r>
          </w:p>
        </w:tc>
      </w:tr>
      <w:tr>
        <w:tc>
          <w:tcPr>
            <w:tcW w:w="2268" w:type="dxa"/>
          </w:tcPr>
          <w:p>
            <w:pPr>
              <w:pStyle w:val="Compact"/>
              <w:jc w:val="left"/>
            </w:pPr>
            <w:r>
              <w:rPr>
                <w:sz w:val="19"/>
              </w:rPr>
              <w:t xml:space="preserve">R1-2.4</w:t>
            </w:r>
          </w:p>
        </w:tc>
        <w:tc>
          <w:tcPr>
            <w:tcW w:w="5103" w:type="dxa"/>
          </w:tcPr>
          <w:p>
            <w:pPr>
              <w:pStyle w:val="Compact"/>
              <w:jc w:val="left"/>
            </w:pPr>
            <w:r>
              <w:rPr>
                <w:sz w:val="19"/>
              </w:rPr>
              <w:t xml:space="preserve">“</w:t>
            </w:r>
            <w:r>
              <w:rPr>
                <w:sz w:val="19"/>
              </w:rPr>
              <w:t xml:space="preserve">equal, stated tuning budget</w:t>
            </w:r>
            <w:r>
              <w:rPr>
                <w:sz w:val="19"/>
              </w:rPr>
              <w:t xml:space="preserve">”</w:t>
            </w:r>
          </w:p>
        </w:tc>
        <w:tc>
          <w:tcPr>
            <w:tcW w:w="7427" w:type="dxa"/>
          </w:tcPr>
          <w:p>
            <w:pPr>
              <w:pStyle w:val="Compact"/>
              <w:jc w:val="left"/>
            </w:pPr>
            <w:r>
              <w:rPr>
                <w:sz w:val="19"/>
              </w:rPr>
              <w:t xml:space="preserve">No baseline tuning budget is stated anywhere</w:t>
            </w:r>
          </w:p>
        </w:tc>
      </w:tr>
      <w:tr>
        <w:tc>
          <w:tcPr>
            <w:tcW w:w="2268" w:type="dxa"/>
          </w:tcPr>
          <w:p>
            <w:pPr>
              <w:pStyle w:val="Compact"/>
              <w:jc w:val="left"/>
            </w:pPr>
            <w:r>
              <w:rPr>
                <w:sz w:val="19"/>
              </w:rPr>
              <w:t xml:space="preserve">R1-1.2</w:t>
            </w:r>
          </w:p>
        </w:tc>
        <w:tc>
          <w:tcPr>
            <w:tcW w:w="5103" w:type="dxa"/>
          </w:tcPr>
          <w:p>
            <w:pPr>
              <w:pStyle w:val="Compact"/>
              <w:jc w:val="left"/>
            </w:pPr>
            <w:r>
              <w:rPr>
                <w:sz w:val="19"/>
              </w:rPr>
              <w:t xml:space="preserve">Banked scores handled</w:t>
            </w:r>
          </w:p>
        </w:tc>
        <w:tc>
          <w:tcPr>
            <w:tcW w:w="7427" w:type="dxa"/>
          </w:tcPr>
          <w:p>
            <w:pPr>
              <w:pStyle w:val="Compact"/>
              <w:jc w:val="left"/>
            </w:pPr>
            <w:r>
              <w:rPr>
                <w:sz w:val="19"/>
              </w:rPr>
              <w:t xml:space="preserve">“</w:t>
            </w:r>
            <w:r>
              <w:rPr>
                <w:sz w:val="19"/>
              </w:rPr>
              <w:t xml:space="preserve">Banked</w:t>
            </w:r>
            <w:r>
              <w:rPr>
                <w:sz w:val="19"/>
              </w:rPr>
              <w:t xml:space="preserve">”</w:t>
            </w:r>
            <w:r>
              <w:rPr>
                <w:sz w:val="19"/>
              </w:rPr>
              <w:t xml:space="preserve"> </w:t>
            </w:r>
            <w:r>
              <w:rPr>
                <w:sz w:val="19"/>
              </w:rPr>
              <w:t xml:space="preserve">never appears</w:t>
            </w:r>
          </w:p>
        </w:tc>
      </w:tr>
      <w:tr>
        <w:tc>
          <w:tcPr>
            <w:tcW w:w="2268" w:type="dxa"/>
          </w:tcPr>
          <w:p>
            <w:pPr>
              <w:pStyle w:val="Compact"/>
              <w:jc w:val="left"/>
            </w:pPr>
            <w:r>
              <w:rPr>
                <w:sz w:val="19"/>
              </w:rPr>
              <w:t xml:space="preserve">R1-S3</w:t>
            </w:r>
          </w:p>
        </w:tc>
        <w:tc>
          <w:tcPr>
            <w:tcW w:w="5103" w:type="dxa"/>
          </w:tcPr>
          <w:p>
            <w:pPr>
              <w:pStyle w:val="Compact"/>
              <w:jc w:val="left"/>
            </w:pPr>
            <w:r>
              <w:rPr>
                <w:sz w:val="19"/>
              </w:rPr>
              <w:t xml:space="preserve">Code statement</w:t>
            </w:r>
            <w:r>
              <w:rPr>
                <w:sz w:val="19"/>
              </w:rPr>
              <w:t xml:space="preserve"> </w:t>
            </w:r>
            <w:r>
              <w:rPr>
                <w:sz w:val="19"/>
              </w:rPr>
              <w:t xml:space="preserve">“</w:t>
            </w:r>
            <w:r>
              <w:rPr>
                <w:sz w:val="19"/>
              </w:rPr>
              <w:t xml:space="preserve">contains a placeholder</w:t>
            </w:r>
            <w:r>
              <w:rPr>
                <w:sz w:val="19"/>
              </w:rPr>
              <w:t xml:space="preserve">”</w:t>
            </w:r>
          </w:p>
        </w:tc>
        <w:tc>
          <w:tcPr>
            <w:tcW w:w="7427" w:type="dxa"/>
          </w:tcPr>
          <w:p>
            <w:pPr>
              <w:pStyle w:val="Compact"/>
              <w:jc w:val="left"/>
            </w:pPr>
            <w:r>
              <w:rPr>
                <w:sz w:val="19"/>
              </w:rPr>
              <w:t xml:space="preserve">The manuscript says the code is attached</w:t>
            </w:r>
          </w:p>
        </w:tc>
      </w:tr>
      <w:tr>
        <w:tc>
          <w:tcPr>
            <w:tcW w:w="2268" w:type="dxa"/>
          </w:tcPr>
          <w:p>
            <w:pPr>
              <w:pStyle w:val="Compact"/>
              <w:jc w:val="left"/>
            </w:pPr>
            <w:r>
              <w:rPr>
                <w:sz w:val="19"/>
              </w:rPr>
              <w:t xml:space="preserve">R2-4</w:t>
            </w:r>
          </w:p>
        </w:tc>
        <w:tc>
          <w:tcPr>
            <w:tcW w:w="5103" w:type="dxa"/>
          </w:tcPr>
          <w:p>
            <w:pPr>
              <w:pStyle w:val="Compact"/>
              <w:jc w:val="left"/>
            </w:pPr>
            <w:r>
              <w:rPr>
                <w:sz w:val="19"/>
              </w:rPr>
              <w:t xml:space="preserve">Invariance</w:t>
            </w:r>
            <w:r>
              <w:rPr>
                <w:sz w:val="19"/>
              </w:rPr>
              <w:t xml:space="preserve"> </w:t>
            </w:r>
            <w:r>
              <w:rPr>
                <w:sz w:val="19"/>
              </w:rPr>
              <w:t xml:space="preserve">“</w:t>
            </w:r>
            <w:r>
              <w:rPr>
                <w:sz w:val="19"/>
              </w:rPr>
              <w:t xml:space="preserve">confirmed by… latency measurements</w:t>
            </w:r>
            <w:r>
              <w:rPr>
                <w:sz w:val="19"/>
              </w:rPr>
              <w:t xml:space="preserve">”</w:t>
            </w:r>
          </w:p>
        </w:tc>
        <w:tc>
          <w:tcPr>
            <w:tcW w:w="7427" w:type="dxa"/>
          </w:tcPr>
          <w:p>
            <w:pPr>
              <w:pStyle w:val="Compact"/>
              <w:jc w:val="left"/>
            </w:pPr>
            <w:r>
              <w:rPr>
                <w:sz w:val="19"/>
              </w:rPr>
              <w:t xml:space="preserve">Latency timing does not test prediction equality</w:t>
            </w:r>
          </w:p>
        </w:tc>
      </w:tr>
      <w:tr>
        <w:tc>
          <w:tcPr>
            <w:tcW w:w="2268" w:type="dxa"/>
          </w:tcPr>
          <w:p>
            <w:pPr>
              <w:pStyle w:val="Compact"/>
              <w:jc w:val="left"/>
            </w:pPr>
            <w:r>
              <w:rPr>
                <w:sz w:val="19"/>
              </w:rPr>
              <w:t xml:space="preserve">R2-10</w:t>
            </w:r>
          </w:p>
        </w:tc>
        <w:tc>
          <w:tcPr>
            <w:tcW w:w="5103" w:type="dxa"/>
          </w:tcPr>
          <w:p>
            <w:pPr>
              <w:pStyle w:val="Compact"/>
              <w:jc w:val="left"/>
            </w:pPr>
            <w:r>
              <w:rPr>
                <w:sz w:val="19"/>
              </w:rPr>
              <w:t xml:space="preserve">“</w:t>
            </w:r>
            <w:r>
              <w:rPr>
                <w:sz w:val="19"/>
              </w:rPr>
              <w:t xml:space="preserve">no CAFE-Net/EBB-Net name mixing remains</w:t>
            </w:r>
            <w:r>
              <w:rPr>
                <w:sz w:val="19"/>
              </w:rPr>
              <w:t xml:space="preserve">”</w:t>
            </w:r>
          </w:p>
        </w:tc>
        <w:tc>
          <w:tcPr>
            <w:tcW w:w="7427" w:type="dxa"/>
          </w:tcPr>
          <w:p>
            <w:pPr>
              <w:pStyle w:val="Compact"/>
              <w:jc w:val="left"/>
            </w:pPr>
            <w:r>
              <w:rPr>
                <w:sz w:val="19"/>
              </w:rPr>
              <w:t xml:space="preserve">“</w:t>
            </w:r>
            <w:r>
              <w:rPr>
                <w:sz w:val="19"/>
              </w:rPr>
              <w:t xml:space="preserve">CAFE-Net</w:t>
            </w:r>
            <w:r>
              <w:rPr>
                <w:sz w:val="19"/>
              </w:rPr>
              <w:t xml:space="preserve">”</w:t>
            </w:r>
            <w:r>
              <w:rPr>
                <w:sz w:val="19"/>
              </w:rPr>
              <w:t xml:space="preserve"> </w:t>
            </w:r>
            <w:r>
              <w:rPr>
                <w:sz w:val="19"/>
              </w:rPr>
              <w:t xml:space="preserve">appears in §4.6.2</w:t>
            </w:r>
          </w:p>
        </w:tc>
      </w:tr>
      <w:tr>
        <w:tc>
          <w:tcPr>
            <w:tcW w:w="2268" w:type="dxa"/>
          </w:tcPr>
          <w:p>
            <w:pPr>
              <w:pStyle w:val="Compact"/>
              <w:jc w:val="left"/>
            </w:pPr>
            <w:r>
              <w:rPr>
                <w:sz w:val="19"/>
              </w:rPr>
              <w:t xml:space="preserve">Editor-4</w:t>
            </w:r>
          </w:p>
        </w:tc>
        <w:tc>
          <w:tcPr>
            <w:tcW w:w="5103" w:type="dxa"/>
          </w:tcPr>
          <w:p>
            <w:pPr>
              <w:pStyle w:val="Compact"/>
              <w:jc w:val="left"/>
            </w:pPr>
            <w:r>
              <w:rPr>
                <w:sz w:val="19"/>
              </w:rPr>
              <w:t xml:space="preserve">Equations</w:t>
            </w:r>
            <w:r>
              <w:rPr>
                <w:sz w:val="19"/>
              </w:rPr>
              <w:t xml:space="preserve"> </w:t>
            </w:r>
            <w:r>
              <w:rPr>
                <w:sz w:val="19"/>
              </w:rPr>
              <w:t xml:space="preserve">“</w:t>
            </w:r>
            <w:r>
              <w:rPr>
                <w:sz w:val="19"/>
              </w:rPr>
              <w:t xml:space="preserve">checked for completeness</w:t>
            </w:r>
            <w:r>
              <w:rPr>
                <w:sz w:val="19"/>
              </w:rPr>
              <w:t xml:space="preserve">”</w:t>
            </w:r>
          </w:p>
        </w:tc>
        <w:tc>
          <w:tcPr>
            <w:tcW w:w="7427" w:type="dxa"/>
          </w:tcPr>
          <w:p>
            <w:pPr>
              <w:pStyle w:val="Compact"/>
              <w:jc w:val="left"/>
            </w:pPr>
            <w:r>
              <w:rPr>
                <w:sz w:val="19"/>
              </w:rPr>
              <w:t xml:space="preserve">Errors in Eqs. 9, 10 and 13 and unnumbered equations remain</w:t>
            </w:r>
          </w:p>
        </w:tc>
      </w:tr>
      <w:tr>
        <w:tc>
          <w:tcPr>
            <w:tcW w:w="2268" w:type="dxa"/>
          </w:tcPr>
          <w:p>
            <w:pPr>
              <w:pStyle w:val="Compact"/>
              <w:jc w:val="left"/>
            </w:pPr>
            <w:r>
              <w:rPr>
                <w:sz w:val="19"/>
              </w:rPr>
              <w:t xml:space="preserve">Editor-2</w:t>
            </w:r>
          </w:p>
        </w:tc>
        <w:tc>
          <w:tcPr>
            <w:tcW w:w="5103" w:type="dxa"/>
          </w:tcPr>
          <w:p>
            <w:pPr>
              <w:pStyle w:val="Compact"/>
              <w:jc w:val="left"/>
            </w:pPr>
            <w:r>
              <w:rPr>
                <w:sz w:val="19"/>
              </w:rPr>
              <w:t xml:space="preserve">Temporal information is</w:t>
            </w:r>
            <w:r>
              <w:rPr>
                <w:sz w:val="19"/>
              </w:rPr>
              <w:t xml:space="preserve"> </w:t>
            </w:r>
            <w:r>
              <w:rPr>
                <w:sz w:val="19"/>
              </w:rPr>
              <w:t xml:space="preserve">“</w:t>
            </w:r>
            <w:r>
              <w:rPr>
                <w:sz w:val="19"/>
              </w:rPr>
              <w:t xml:space="preserve">genuinely useful</w:t>
            </w:r>
            <w:r>
              <w:rPr>
                <w:sz w:val="19"/>
              </w:rPr>
              <w:t xml:space="preserve">”</w:t>
            </w:r>
          </w:p>
        </w:tc>
        <w:tc>
          <w:tcPr>
            <w:tcW w:w="7427" w:type="dxa"/>
          </w:tcPr>
          <w:p>
            <w:pPr>
              <w:pStyle w:val="Compact"/>
              <w:jc w:val="left"/>
            </w:pPr>
            <w:r>
              <w:rPr>
                <w:sz w:val="19"/>
              </w:rPr>
              <w:t xml:space="preserve">Single-week LightGBM and XGBoost beat GRU and TCN</w:t>
            </w:r>
          </w:p>
        </w:tc>
      </w:tr>
    </w:tbl>
    <w:bookmarkEnd w:id="23"/>
    <w:bookmarkStart w:id="24" w:name="X59f038dd5bc2093afa091bb32f1f9b07ce7c7c2"/>
    <w:p>
      <w:pPr>
        <w:pStyle w:val="Heading2"/>
      </w:pPr>
      <w:r>
        <w:t xml:space="preserve">4. Reviewer Comments That Need Stronger Responses</w:t>
      </w:r>
    </w:p>
    <w:p>
      <w:pPr>
        <w:pStyle w:val="FirstParagraph"/>
      </w:pPr>
      <w:r>
        <w:rPr>
          <w:bCs/>
          <w:b/>
        </w:rPr>
        <w:t xml:space="preserve">Editor Comment 2.</w:t>
      </w:r>
    </w:p>
    <w:p>
      <w:pPr>
        <w:pStyle w:val="BlockText"/>
      </w:pPr>
      <w:r>
        <w:t xml:space="preserve">We thank the Editor for this observation. After the redesign, the six-week neural models outperform the single-week MLP (TCN 0.8048 and GRU 0.8046 against 0.7983 PR-AUC; Table 10). However, the single-week gradient-boosted trees (LightGBM 0.8061, XGBoost 0.8058) are stronger than both sequence models. Removing the temporal TCN from EBB-Net lowers PR-AUC by only 0.0006 (A3, Table 9). We therefore no longer claim that temporal modelling is the main source of performance. To separate input history from architecture, we added tree baselines with lagged features for weeks t-1 to t-5 (Table X). We revised §4.6 to state that the temporal gain is small.</w:t>
      </w:r>
    </w:p>
    <w:p>
      <w:pPr>
        <w:pStyle w:val="FirstParagraph"/>
      </w:pPr>
      <w:r>
        <w:rPr>
          <w:bCs/>
          <w:b/>
        </w:rPr>
        <w:t xml:space="preserve">Editor Comment 3.</w:t>
      </w:r>
    </w:p>
    <w:p>
      <w:pPr>
        <w:pStyle w:val="BlockText"/>
      </w:pPr>
      <w:r>
        <w:t xml:space="preserve">The SHAP analysis was re-run on the new model (§4.7, Figure 5). No demographic or module feature appears among the twenty highest-ranked features. Module indicators do appear with small weights in the single LIME explanation (Figure 6), and we now discuss this in §4.8. To test directly whether module identity drives the predictions, we trained a module-presentation-only predictor and a metadata-only predictor (Table X). Their PR-AUC values are [values], against 0.8105 for EBB-Net. We also added a persistence baseline that uses only the current-week change score and the baseline level. This checks how much of the signal comes from regression towards the personal baseline (Table X).</w:t>
      </w:r>
    </w:p>
    <w:p>
      <w:pPr>
        <w:pStyle w:val="FirstParagraph"/>
      </w:pPr>
      <w:r>
        <w:rPr>
          <w:bCs/>
          <w:b/>
        </w:rPr>
        <w:t xml:space="preserve">Reviewer 1, Comment 1.2.</w:t>
      </w:r>
    </w:p>
    <w:p>
      <w:pPr>
        <w:pStyle w:val="BlockText"/>
      </w:pPr>
      <w:r>
        <w:t xml:space="preserve">The 82 dynamic and 34 static features are now listed in Supplementary Table S1, with the group, definition and source table of each feature. date_unregistration is used only to end the observation window. The week of withdrawal and all later weeks are not observed, and this variable is not a model input (§3.1). Clicks with negative dates are kept as pre-course activity (§3.2). Banked assessment results are [excluded / treated as submitted in the week of the original attempt] (§3.3). Scores are lagged by one week to reflect marking delay.</w:t>
      </w:r>
    </w:p>
    <w:p>
      <w:pPr>
        <w:pStyle w:val="FirstParagraph"/>
      </w:pPr>
      <w:r>
        <w:rPr>
          <w:bCs/>
          <w:b/>
        </w:rPr>
        <w:t xml:space="preserve">Reviewer 1, Comment 2.2.</w:t>
      </w:r>
    </w:p>
    <w:p>
      <w:pPr>
        <w:pStyle w:val="BlockText"/>
      </w:pPr>
      <w:r>
        <w:t xml:space="preserve">All results for the proposed model, the ablations and the baselines are now the mean ± SD over ten prespecified seeds (42–51). This includes Tables 6–10, Figure 3 and Figure 4, and the calibrated ensemble in Table 8, which now averages the ten seed models. Checkpointing, early stopping and threshold selection use the validation set only. The test set is evaluated once per seed.</w:t>
      </w:r>
    </w:p>
    <w:p>
      <w:pPr>
        <w:pStyle w:val="FirstParagraph"/>
      </w:pPr>
      <w:r>
        <w:rPr>
          <w:bCs/>
          <w:b/>
        </w:rPr>
        <w:t xml:space="preserve">Reviewer 1, Comment 2.3 / Reviewer 2, Comment 7.</w:t>
      </w:r>
    </w:p>
    <w:p>
      <w:pPr>
        <w:pStyle w:val="BlockText"/>
      </w:pPr>
      <w:r>
        <w:t xml:space="preserve">We thank the reviewer for this important point. With seeds as the pairing unit, the exact two-sided Wilcoxon signed-rank test has a minimum p-value of 0.00195 at n = 10. We prespecified PR-AUC as the primary metric and applied the Holm correction across the 12 primary comparisons. Table 11 now reports, for each comparison, the number of seeds, the statistic W, the exact raw p-value, the Holm-adjusted p-value and the matched-pairs rank-biserial correlation. ROC-AUC and log loss are reported as secondary results. Because seed variation does not capture test-sample uncertainty, we added 95% confidence intervals from 1,000 enrollment-level cluster bootstrap resamples of the test set (Table 11). We have also removed any claim of significance that is not supported by the corrected values.</w:t>
      </w:r>
    </w:p>
    <w:p>
      <w:pPr>
        <w:pStyle w:val="FirstParagraph"/>
      </w:pPr>
      <w:r>
        <w:rPr>
          <w:bCs/>
          <w:b/>
        </w:rPr>
        <w:t xml:space="preserve">Reviewer 1, Comment 2.4.</w:t>
      </w:r>
    </w:p>
    <w:p>
      <w:pPr>
        <w:pStyle w:val="BlockText"/>
      </w:pPr>
      <w:r>
        <w:t xml:space="preserve">We replaced the knowledge-tracing models with XGBoost, LightGBM, Random Forest and L2-regularised logistic regression. Each baseline was tuned by random search with 10 trials on validation PR-AUC, the same budget as EBB-Net. The search spaces are listed in Supplementary Table S3. All baselines use the same split and the same ten seeds. In addition, we report the three leakage diagnostics the reviewer requested (training-mean, presentation-only and metadata-only predictors; Table X).</w:t>
      </w:r>
    </w:p>
    <w:p>
      <w:pPr>
        <w:pStyle w:val="FirstParagraph"/>
      </w:pPr>
      <w:r>
        <w:rPr>
          <w:bCs/>
          <w:b/>
        </w:rPr>
        <w:t xml:space="preserve">Reviewer 1, Section 3 (Reproducibility).</w:t>
      </w:r>
    </w:p>
    <w:p>
      <w:pPr>
        <w:pStyle w:val="BlockText"/>
      </w:pPr>
      <w:r>
        <w:t xml:space="preserve">The complete pipeline, the trained checkpoints and the scripts that generate every table are deposited at [repository, DOI]. The Data and Code Availability statement now gives this DOI. Hardware (GPU model, CPU, memory) is stated in §4.1. The eight automated leakage checks and their outcomes are listed in Supplementary Table S2.</w:t>
      </w:r>
    </w:p>
    <w:p>
      <w:pPr>
        <w:pStyle w:val="FirstParagraph"/>
      </w:pPr>
      <w:r>
        <w:rPr>
          <w:bCs/>
          <w:b/>
        </w:rPr>
        <w:t xml:space="preserve">Reviewer 2, Comment 4.</w:t>
      </w:r>
    </w:p>
    <w:p>
      <w:pPr>
        <w:pStyle w:val="BlockText"/>
      </w:pPr>
      <w:r>
        <w:t xml:space="preserve">The Cross-Student Transformer has been removed. Every operation in EBB-Net now acts on a single enrollment (§3.4). To confirm batch independence empirically, we compared test predictions at batch sizes 1 and 4096. The maximum absolute difference in predicted probability was [value], which is at floating-point precision (§4.6.2).</w:t>
      </w:r>
    </w:p>
    <w:p>
      <w:pPr>
        <w:pStyle w:val="FirstParagraph"/>
      </w:pPr>
      <w:r>
        <w:rPr>
          <w:bCs/>
          <w:b/>
        </w:rPr>
        <w:t xml:space="preserve">Reviewer 2, Comment 8.</w:t>
      </w:r>
    </w:p>
    <w:p>
      <w:pPr>
        <w:pStyle w:val="BlockText"/>
      </w:pPr>
      <w:r>
        <w:t xml:space="preserve">All results are the mean ± SD over ten prespecified seeds. In addition, we computed test PR-AUC separately for each of the 22 module presentations for EBB-Net and LightGBM (Supplementary Table S4). EBB-Net is higher in [k] of the 22 presentations. This shows how stable the gain is across courses.</w:t>
      </w:r>
    </w:p>
    <w:p>
      <w:pPr>
        <w:pStyle w:val="FirstParagraph"/>
      </w:pPr>
      <w:r>
        <w:rPr>
          <w:bCs/>
          <w:b/>
        </w:rPr>
        <w:t xml:space="preserve">Reviewer 2, Comment 10.</w:t>
      </w:r>
    </w:p>
    <w:p>
      <w:pPr>
        <w:pStyle w:val="BlockText"/>
      </w:pPr>
      <w:r>
        <w:t xml:space="preserve">A feature dictionary is now given in Supplementary Table S1. Missing-value rules are described in §3.2. All display equations are numbered, and every symbol is defined where it first appears. The earlier model name has been removed from the manuscript, and only</w:t>
      </w:r>
      <w:r>
        <w:t xml:space="preserve"> </w:t>
      </w:r>
      <w:r>
        <w:t xml:space="preserve">“</w:t>
      </w:r>
      <w:r>
        <w:t xml:space="preserve">EBB-Net</w:t>
      </w:r>
      <w:r>
        <w:t xml:space="preserve">”</w:t>
      </w:r>
      <w:r>
        <w:t xml:space="preserve"> </w:t>
      </w:r>
      <w:r>
        <w:t xml:space="preserve">is used.</w:t>
      </w:r>
    </w:p>
    <w:p>
      <w:pPr>
        <w:pStyle w:val="FirstParagraph"/>
      </w:pPr>
      <w:r>
        <w:rPr>
          <w:iCs/>
          <w:i/>
        </w:rPr>
        <w:t xml:space="preserve">Note: bracketed items in this section are values to be filled from the new experiments. They belong only in the response letter draft and must not appear in the manuscript.</w:t>
      </w:r>
    </w:p>
    <w:bookmarkEnd w:id="24"/>
    <w:bookmarkStart w:id="25" w:name="manuscript-changes-still-required"/>
    <w:p>
      <w:pPr>
        <w:pStyle w:val="Heading2"/>
      </w:pPr>
      <w:r>
        <w:t xml:space="preserve">5. Manuscript Changes Still Required</w:t>
      </w:r>
    </w:p>
    <w:p>
      <w:pPr>
        <w:pStyle w:val="FirstParagraph"/>
      </w:pPr>
      <w:r>
        <w:rPr>
          <w:bCs/>
          <w:b/>
        </w:rPr>
        <w:t xml:space="preserve">1. Delete the author note.</w:t>
      </w:r>
      <w:r>
        <w:t xml:space="preserve"> </w:t>
      </w:r>
      <w:r>
        <w:t xml:space="preserve">Remove the paragraph at the end of §4.3 that begins</w:t>
      </w:r>
      <w:r>
        <w:t xml:space="preserve"> </w:t>
      </w:r>
      <w:r>
        <w:t xml:space="preserve">“</w:t>
      </w:r>
      <w:r>
        <w:t xml:space="preserve">Note: the calibrated ensemble in Table 8…</w:t>
      </w:r>
      <w:r>
        <w:t xml:space="preserve">”</w:t>
      </w:r>
      <w:r>
        <w:t xml:space="preserve">.</w:t>
      </w:r>
    </w:p>
    <w:p>
      <w:pPr>
        <w:pStyle w:val="BodyText"/>
      </w:pPr>
      <w:r>
        <w:rPr>
          <w:bCs/>
          <w:b/>
        </w:rPr>
        <w:t xml:space="preserve">2. Figure 4 caption.</w:t>
      </w:r>
      <w:r>
        <w:t xml:space="preserve"> </w:t>
      </w:r>
      <w:r>
        <w:t xml:space="preserve">After regeneration, replace with:</w:t>
      </w:r>
    </w:p>
    <w:p>
      <w:pPr>
        <w:pStyle w:val="BlockText"/>
      </w:pPr>
      <w:r>
        <w:t xml:space="preserve">Figure 4. Test PR-AUC (A) and ROC-AUC (B) of EBB-Net and the five ablation variants (mean ± SD over ten seeds).</w:t>
      </w:r>
    </w:p>
    <w:p>
      <w:pPr>
        <w:pStyle w:val="FirstParagraph"/>
      </w:pPr>
      <w:r>
        <w:rPr>
          <w:bCs/>
          <w:b/>
        </w:rPr>
        <w:t xml:space="preserve">3. Regenerate with ten seeds:</w:t>
      </w:r>
      <w:r>
        <w:t xml:space="preserve"> </w:t>
      </w:r>
      <w:r>
        <w:t xml:space="preserve">Tables 6, 7 and 8 and Figure 3. Then update the following:</w:t>
      </w:r>
    </w:p>
    <w:p>
      <w:pPr>
        <w:numPr>
          <w:ilvl w:val="0"/>
          <w:numId w:val="1003"/>
        </w:numPr>
        <w:pStyle w:val="Compact"/>
      </w:pPr>
      <w:r>
        <w:t xml:space="preserve">Table 5: change</w:t>
      </w:r>
      <w:r>
        <w:t xml:space="preserve"> </w:t>
      </w:r>
      <w:r>
        <w:t xml:space="preserve">“</w:t>
      </w:r>
      <w:r>
        <w:t xml:space="preserve">42, 43 and 44</w:t>
      </w:r>
      <w:r>
        <w:t xml:space="preserve">”</w:t>
      </w:r>
      <w:r>
        <w:t xml:space="preserve"> </w:t>
      </w:r>
      <w:r>
        <w:t xml:space="preserve">to</w:t>
      </w:r>
      <w:r>
        <w:t xml:space="preserve"> </w:t>
      </w:r>
      <w:r>
        <w:t xml:space="preserve">“</w:t>
      </w:r>
      <w:r>
        <w:t xml:space="preserve">42 to 51</w:t>
      </w:r>
      <w:r>
        <w:t xml:space="preserve">”</w:t>
      </w:r>
      <w:r>
        <w:t xml:space="preserve">.</w:t>
      </w:r>
    </w:p>
    <w:p>
      <w:pPr>
        <w:numPr>
          <w:ilvl w:val="0"/>
          <w:numId w:val="1003"/>
        </w:numPr>
        <w:pStyle w:val="Compact"/>
      </w:pPr>
      <w:r>
        <w:t xml:space="preserve">§3.5: replace</w:t>
      </w:r>
      <w:r>
        <w:t xml:space="preserve"> </w:t>
      </w:r>
      <w:r>
        <w:t xml:space="preserve">“</w:t>
      </w:r>
      <w:r>
        <w:t xml:space="preserve">During the main experiments, training was performed with seeds 42, 43 and 44.</w:t>
      </w:r>
      <w:r>
        <w:t xml:space="preserve">”</w:t>
      </w:r>
      <w:r>
        <w:t xml:space="preserve"> </w:t>
      </w:r>
      <w:r>
        <w:t xml:space="preserve">with</w:t>
      </w:r>
      <w:r>
        <w:t xml:space="preserve"> </w:t>
      </w:r>
      <w:r>
        <w:t xml:space="preserve">“</w:t>
      </w:r>
      <w:r>
        <w:t xml:space="preserve">The main experiments used ten seeds, 42 to 51.</w:t>
      </w:r>
      <w:r>
        <w:t xml:space="preserve">”</w:t>
      </w:r>
    </w:p>
    <w:p>
      <w:pPr>
        <w:numPr>
          <w:ilvl w:val="0"/>
          <w:numId w:val="1003"/>
        </w:numPr>
        <w:pStyle w:val="Compact"/>
      </w:pPr>
      <w:r>
        <w:t xml:space="preserve">§4.3: replace</w:t>
      </w:r>
      <w:r>
        <w:t xml:space="preserve"> </w:t>
      </w:r>
      <w:r>
        <w:t xml:space="preserve">“</w:t>
      </w:r>
      <w:r>
        <w:t xml:space="preserve">over seeds 42, 43 and 44</w:t>
      </w:r>
      <w:r>
        <w:t xml:space="preserve">”</w:t>
      </w:r>
      <w:r>
        <w:t xml:space="preserve"> </w:t>
      </w:r>
      <w:r>
        <w:t xml:space="preserve">with</w:t>
      </w:r>
      <w:r>
        <w:t xml:space="preserve"> </w:t>
      </w:r>
      <w:r>
        <w:t xml:space="preserve">“</w:t>
      </w:r>
      <w:r>
        <w:t xml:space="preserve">over ten seeds (42 to 51)</w:t>
      </w:r>
      <w:r>
        <w:t xml:space="preserve">”</w:t>
      </w:r>
      <w:r>
        <w:t xml:space="preserve">. Delete the sentence</w:t>
      </w:r>
      <w:r>
        <w:t xml:space="preserve"> </w:t>
      </w:r>
      <w:r>
        <w:t xml:space="preserve">“</w:t>
      </w:r>
      <w:r>
        <w:t xml:space="preserve">The confidence interval comes from resampling test students 500 times</w:t>
      </w:r>
      <w:r>
        <w:t xml:space="preserve">”</w:t>
      </w:r>
      <w:r>
        <w:t xml:space="preserve">, or add the CI to Table 8.</w:t>
      </w:r>
    </w:p>
    <w:p>
      <w:pPr>
        <w:numPr>
          <w:ilvl w:val="0"/>
          <w:numId w:val="1003"/>
        </w:numPr>
        <w:pStyle w:val="Compact"/>
      </w:pPr>
      <w:r>
        <w:t xml:space="preserve">Table 1, last row: replace</w:t>
      </w:r>
      <w:r>
        <w:t xml:space="preserve"> </w:t>
      </w:r>
      <w:r>
        <w:t xml:space="preserve">“</w:t>
      </w:r>
      <w:r>
        <w:t xml:space="preserve">These are the mean metrices across 3 seeds</w:t>
      </w:r>
      <w:r>
        <w:t xml:space="preserve">”</w:t>
      </w:r>
      <w:r>
        <w:t xml:space="preserve"> </w:t>
      </w:r>
      <w:r>
        <w:t xml:space="preserve">with</w:t>
      </w:r>
      <w:r>
        <w:t xml:space="preserve"> </w:t>
      </w:r>
      <w:r>
        <w:t xml:space="preserve">“</w:t>
      </w:r>
      <w:r>
        <w:t xml:space="preserve">Mean over ten seeds</w:t>
      </w:r>
      <w:r>
        <w:t xml:space="preserve">”</w:t>
      </w:r>
      <w:r>
        <w:t xml:space="preserve">.</w:t>
      </w:r>
    </w:p>
    <w:p>
      <w:pPr>
        <w:numPr>
          <w:ilvl w:val="0"/>
          <w:numId w:val="1003"/>
        </w:numPr>
        <w:pStyle w:val="Compact"/>
      </w:pPr>
      <w:r>
        <w:t xml:space="preserve">Table 6, Table 7 and Figure 3 captions: replace</w:t>
      </w:r>
      <w:r>
        <w:t xml:space="preserve"> </w:t>
      </w:r>
      <w:r>
        <w:t xml:space="preserve">“</w:t>
      </w:r>
      <w:r>
        <w:t xml:space="preserve">3 seeds</w:t>
      </w:r>
      <w:r>
        <w:t xml:space="preserve">”</w:t>
      </w:r>
      <w:r>
        <w:t xml:space="preserve"> </w:t>
      </w:r>
      <w:r>
        <w:t xml:space="preserve">/</w:t>
      </w:r>
      <w:r>
        <w:t xml:space="preserve"> </w:t>
      </w:r>
      <w:r>
        <w:t xml:space="preserve">“</w:t>
      </w:r>
      <w:r>
        <w:t xml:space="preserve">three seeds</w:t>
      </w:r>
      <w:r>
        <w:t xml:space="preserve">”</w:t>
      </w:r>
      <w:r>
        <w:t xml:space="preserve"> </w:t>
      </w:r>
      <w:r>
        <w:t xml:space="preserve">with</w:t>
      </w:r>
      <w:r>
        <w:t xml:space="preserve"> </w:t>
      </w:r>
      <w:r>
        <w:t xml:space="preserve">“</w:t>
      </w:r>
      <w:r>
        <w:t xml:space="preserve">ten seeds</w:t>
      </w:r>
      <w:r>
        <w:t xml:space="preserve">”</w:t>
      </w:r>
      <w:r>
        <w:t xml:space="preserve">.</w:t>
      </w:r>
    </w:p>
    <w:p>
      <w:pPr>
        <w:pStyle w:val="FirstParagraph"/>
      </w:pPr>
      <w:r>
        <w:rPr>
          <w:bCs/>
          <w:b/>
        </w:rPr>
        <w:t xml:space="preserve">4. Conclusion, results sentence.</w:t>
      </w:r>
      <w:r>
        <w:t xml:space="preserve"> </w:t>
      </w:r>
      <w:r>
        <w:t xml:space="preserve">Replace with:</w:t>
      </w:r>
    </w:p>
    <w:p>
      <w:pPr>
        <w:pStyle w:val="BlockText"/>
      </w:pPr>
      <w:r>
        <w:t xml:space="preserve">On the held-out OULAD test set, EBB-Net reaches a mean PR-AUC of 0.8105, a ROC-AUC of 0.7725, an F1-score of 0.7181, a precision of 0.7409, a Brier score of 0.1916 and an ECE of 0.0063 over ten seeds.</w:t>
      </w:r>
    </w:p>
    <w:p>
      <w:pPr>
        <w:pStyle w:val="FirstParagraph"/>
      </w:pPr>
      <w:r>
        <w:rPr>
          <w:bCs/>
          <w:b/>
        </w:rPr>
        <w:t xml:space="preserve">5. §4.5, paragraph after Figure 4.</w:t>
      </w:r>
      <w:r>
        <w:t xml:space="preserve"> </w:t>
      </w:r>
      <w:r>
        <w:t xml:space="preserve">Replace with:</w:t>
      </w:r>
    </w:p>
    <w:p>
      <w:pPr>
        <w:pStyle w:val="BlockText"/>
      </w:pPr>
      <w:r>
        <w:t xml:space="preserve">Figure 4 compares the ranking metrics. The vertical axes do not start at zero so that the small gaps are visible. A1 gives the largest drop. Its PR-AUC falls to 0.8076 and its ROC-AUC to 0.7694, which are 0.0029 and 0.0031 below the full model. Its Brier score rises to 0.1929, its ECE to 0.0073 and its log loss to 0.5637. A4 gives the second largest drop, with a PR-AUC of 0.8091 and a ROC-AUC of 0.7711. A2 and A3 lower the PR-AUC by 0.0005 and 0.0006. A3 also shifts the operating point. Its precision is 0.7425 and its recall is 0.6891. A5 gives almost the same result as the full model, with a PR-AUC of 0.8104. The drop for A4 is larger than for A5, which suggests that the ordinal head adds slightly more than the change-score head. The full model has the lowest Brier score and log loss of the six rows. A2 and A5 have a slightly lower ECE of 0.0061.</w:t>
      </w:r>
    </w:p>
    <w:p>
      <w:pPr>
        <w:pStyle w:val="FirstParagraph"/>
      </w:pPr>
      <w:r>
        <w:rPr>
          <w:bCs/>
          <w:b/>
        </w:rPr>
        <w:t xml:space="preserve">6. §4.6, last two sentences.</w:t>
      </w:r>
      <w:r>
        <w:t xml:space="preserve"> </w:t>
      </w:r>
      <w:r>
        <w:t xml:space="preserve">Replace with:</w:t>
      </w:r>
    </w:p>
    <w:p>
      <w:pPr>
        <w:pStyle w:val="BlockText"/>
      </w:pPr>
      <w:r>
        <w:t xml:space="preserve">Table 11 reports paired, seed-level Wilcoxon tests for these comparisons. Over ten seeds, EBB-Net has the highest PR-AUC, ROC-AUC and F1-score and the lowest Brier score and log loss in Table 10. It does not lead on every metric. MLP has a lower ECE, LightGBM a higher precision and TCN a higher recall. The PR-AUC gain over the strongest baseline, LightGBM, is 0.0044, which is small in absolute terms.</w:t>
      </w:r>
    </w:p>
    <w:p>
      <w:pPr>
        <w:pStyle w:val="FirstParagraph"/>
      </w:pPr>
      <w:r>
        <w:rPr>
          <w:bCs/>
          <w:b/>
        </w:rPr>
        <w:t xml:space="preserve">7. §4.6.1.</w:t>
      </w:r>
      <w:r>
        <w:t xml:space="preserve"> </w:t>
      </w:r>
      <w:r>
        <w:t xml:space="preserve">Recompute with PR-AUC as the primary metric and a 12-test Holm family. Add W and raw p columns to Table 11. Then replace the text with:</w:t>
      </w:r>
    </w:p>
    <w:p>
      <w:pPr>
        <w:pStyle w:val="BlockText"/>
      </w:pPr>
      <w:r>
        <w:t xml:space="preserve">EBB-Net was compared with the seven baselines and the five ablations using a paired, exact, two-sided Wilcoxon signed-rank test. The seed was the pairing unit (n = 10). PR-AUC was prespecified as the primary metric. Holm correction was applied across the 12 primary comparisons. ROC-AUC and log loss are reported as secondary results. When EBB-Net wins in all ten seeds, the exact raw p-value is 0.00195 and the Holm-adjusted value is 0.0234. EBB-Net wins in all ten seeds against all seven baselines and against A1, A2 and A4 (r = 1.00). A3 gives r = 0.93. A5 does not differ significantly from the full model (r = 0.53).</w:t>
      </w:r>
    </w:p>
    <w:p>
      <w:pPr>
        <w:pStyle w:val="FirstParagraph"/>
      </w:pPr>
      <w:r>
        <w:t xml:space="preserve">Insert the exact A3 and A5 values from the recomputed output. Do not leave any placeholder in the manuscript. Remove</w:t>
      </w:r>
      <w:r>
        <w:t xml:space="preserve"> </w:t>
      </w:r>
      <w:r>
        <w:t xml:space="preserve">“</w:t>
      </w:r>
      <w:r>
        <w:t xml:space="preserve">statistically significant after Holm-Bonferroni correction</w:t>
      </w:r>
      <w:r>
        <w:t xml:space="preserve">”</w:t>
      </w:r>
      <w:r>
        <w:t xml:space="preserve"> </w:t>
      </w:r>
      <w:r>
        <w:t xml:space="preserve">from §4.6 and the Limitations unless the recomputed values support it.</w:t>
      </w:r>
    </w:p>
    <w:p>
      <w:pPr>
        <w:pStyle w:val="BodyText"/>
      </w:pPr>
      <w:r>
        <w:rPr>
          <w:bCs/>
          <w:b/>
        </w:rPr>
        <w:t xml:space="preserve">8. §4.6.2.</w:t>
      </w:r>
      <w:r>
        <w:t xml:space="preserve"> </w:t>
      </w:r>
      <w:r>
        <w:t xml:space="preserve">Delete</w:t>
      </w:r>
      <w:r>
        <w:t xml:space="preserve"> </w:t>
      </w:r>
      <w:r>
        <w:t xml:space="preserve">“</w:t>
      </w:r>
      <w:r>
        <w:t xml:space="preserve">, unlike the Cross-Student Transformer design criticised in the prior CAFE-Net review</w:t>
      </w:r>
      <w:r>
        <w:t xml:space="preserve">”</w:t>
      </w:r>
      <w:r>
        <w:t xml:space="preserve">. Add a sentence reporting the maximum absolute difference between the probabilities at batch sizes 1 and 4096. Name the GPU and CPU. Explain why A3 trains slower than the full model.</w:t>
      </w:r>
    </w:p>
    <w:p>
      <w:pPr>
        <w:pStyle w:val="BodyText"/>
      </w:pPr>
      <w:r>
        <w:rPr>
          <w:bCs/>
          <w:b/>
        </w:rPr>
        <w:t xml:space="preserve">9. §4.1.</w:t>
      </w:r>
      <w:r>
        <w:t xml:space="preserve"> </w:t>
      </w:r>
      <w:r>
        <w:t xml:space="preserve">Replace</w:t>
      </w:r>
      <w:r>
        <w:t xml:space="preserve"> </w:t>
      </w:r>
      <w:r>
        <w:t xml:space="preserve">“</w:t>
      </w:r>
      <w:r>
        <w:t xml:space="preserve">three neural network SOTA models</w:t>
      </w:r>
      <w:r>
        <w:t xml:space="preserve">”</w:t>
      </w:r>
      <w:r>
        <w:t xml:space="preserve"> </w:t>
      </w:r>
      <w:r>
        <w:t xml:space="preserve">with</w:t>
      </w:r>
      <w:r>
        <w:t xml:space="preserve"> </w:t>
      </w:r>
      <w:r>
        <w:t xml:space="preserve">“</w:t>
      </w:r>
      <w:r>
        <w:t xml:space="preserve">three neural baselines (MLP, GRU and TCN) and four tabular baselines (XGBoost, LightGBM, Random Forest and L2-regularised logistic regression)</w:t>
      </w:r>
      <w:r>
        <w:t xml:space="preserve">”</w:t>
      </w:r>
      <w:r>
        <w:t xml:space="preserve">. Then add:</w:t>
      </w:r>
    </w:p>
    <w:p>
      <w:pPr>
        <w:pStyle w:val="BlockText"/>
      </w:pPr>
      <w:r>
        <w:t xml:space="preserve">Each baseline was tuned by random search with 10 trials on validation PR-AUC, the same budget as EBB-Net.</w:t>
      </w:r>
    </w:p>
    <w:p>
      <w:pPr>
        <w:pStyle w:val="FirstParagraph"/>
      </w:pPr>
      <w:r>
        <w:t xml:space="preserve">Add the hardware details here as well.</w:t>
      </w:r>
    </w:p>
    <w:p>
      <w:pPr>
        <w:pStyle w:val="BodyText"/>
      </w:pPr>
      <w:r>
        <w:rPr>
          <w:bCs/>
          <w:b/>
        </w:rPr>
        <w:t xml:space="preserve">10. §3.5, Eq. 9 and Eq. 10 text.</w:t>
      </w:r>
      <w:r>
        <w:t xml:space="preserve"> </w:t>
      </w:r>
      <w:r>
        <w:t xml:space="preserve">Replace with:</w:t>
      </w:r>
    </w:p>
    <w:p>
      <w:pPr>
        <w:pStyle w:val="BlockText"/>
      </w:pPr>
      <w:r>
        <w:t xml:space="preserve">For a given student-week, the binary head produces a single logit z_t, which the sigmoid converts into the decline probability ŷ_t. The primary objective is the binary cross-entropy between ŷ_t and the true label y_t.</w:t>
      </w:r>
    </w:p>
    <w:p>
      <w:pPr>
        <w:pStyle w:val="FirstParagraph"/>
      </w:pPr>
      <w:r>
        <w:t xml:space="preserve">Define d_t under Eq. 13 as</w:t>
      </w:r>
      <w:r>
        <w:t xml:space="preserve"> </w:t>
      </w:r>
      <w:r>
        <w:t xml:space="preserve">“</w:t>
      </w:r>
      <w:r>
        <w:t xml:space="preserve">the scaled change score predicted by the regression head</w:t>
      </w:r>
      <w:r>
        <w:t xml:space="preserve">”</w:t>
      </w:r>
      <w:r>
        <w:t xml:space="preserve">. Define W_t under Eq. 5 as</w:t>
      </w:r>
      <w:r>
        <w:t xml:space="preserve"> </w:t>
      </w:r>
      <w:r>
        <w:t xml:space="preserve">“</w:t>
      </w:r>
      <w:r>
        <w:t xml:space="preserve">the set of observed weeks from t-4 to t</w:t>
      </w:r>
      <w:r>
        <w:t xml:space="preserve">”</w:t>
      </w:r>
      <w:r>
        <w:t xml:space="preserve">. Number L_δ as Eq. 13 and renumber the equations that follow.</w:t>
      </w:r>
    </w:p>
    <w:p>
      <w:pPr>
        <w:pStyle w:val="BodyText"/>
      </w:pPr>
      <w:r>
        <w:rPr>
          <w:bCs/>
          <w:b/>
        </w:rPr>
        <w:t xml:space="preserve">11. Threshold wording (abstract, Aim, §3, §4.1, Conclusion).</w:t>
      </w:r>
      <w:r>
        <w:t xml:space="preserve"> </w:t>
      </w:r>
      <w:r>
        <w:t xml:space="preserve">Replace</w:t>
      </w:r>
      <w:r>
        <w:t xml:space="preserve"> </w:t>
      </w:r>
      <w:r>
        <w:t xml:space="preserve">“</w:t>
      </w:r>
      <w:r>
        <w:t xml:space="preserve">more than 10% below</w:t>
      </w:r>
      <w:r>
        <w:t xml:space="preserve">”</w:t>
      </w:r>
      <w:r>
        <w:t xml:space="preserve"> </w:t>
      </w:r>
      <w:r>
        <w:t xml:space="preserve">with</w:t>
      </w:r>
      <w:r>
        <w:t xml:space="preserve"> </w:t>
      </w:r>
      <w:r>
        <w:t xml:space="preserve">“</w:t>
      </w:r>
      <w:r>
        <w:t xml:space="preserve">below 0.90 of the personal baseline on the add-one geometric-mean scale</w:t>
      </w:r>
      <w:r>
        <w:t xml:space="preserve">”</w:t>
      </w:r>
      <w:r>
        <w:t xml:space="preserve">. In the abstract, replace</w:t>
      </w:r>
      <w:r>
        <w:t xml:space="preserve"> </w:t>
      </w:r>
      <w:r>
        <w:t xml:space="preserve">“</w:t>
      </w:r>
      <w:r>
        <w:t xml:space="preserve">by more than a proportion of 0.10</w:t>
      </w:r>
      <w:r>
        <w:t xml:space="preserve">”</w:t>
      </w:r>
      <w:r>
        <w:t xml:space="preserve"> </w:t>
      </w:r>
      <w:r>
        <w:t xml:space="preserve">with</w:t>
      </w:r>
      <w:r>
        <w:t xml:space="preserve"> </w:t>
      </w:r>
      <w:r>
        <w:t xml:space="preserve">“</w:t>
      </w:r>
      <w:r>
        <w:t xml:space="preserve">below 0.90 of their personal reference level on an add-one log-ratio scale</w:t>
      </w:r>
      <w:r>
        <w:t xml:space="preserve">”</w:t>
      </w:r>
      <w:r>
        <w:t xml:space="preserve">.</w:t>
      </w:r>
    </w:p>
    <w:p>
      <w:pPr>
        <w:pStyle w:val="BodyText"/>
      </w:pPr>
      <w:r>
        <w:rPr>
          <w:bCs/>
          <w:b/>
        </w:rPr>
        <w:t xml:space="preserve">12. §3.3, banked assessments.</w:t>
      </w:r>
      <w:r>
        <w:t xml:space="preserve"> </w:t>
      </w:r>
      <w:r>
        <w:t xml:space="preserve">Add:</w:t>
      </w:r>
    </w:p>
    <w:p>
      <w:pPr>
        <w:pStyle w:val="BlockText"/>
      </w:pPr>
      <w:r>
        <w:t xml:space="preserve">Banked assessment results from an earlier presentation are [excluded / kept]. The date_unregistration field is used only to end the observation window and is not a model input.</w:t>
      </w:r>
    </w:p>
    <w:p>
      <w:pPr>
        <w:pStyle w:val="FirstParagraph"/>
      </w:pPr>
      <w:r>
        <w:rPr>
          <w:bCs/>
          <w:b/>
        </w:rPr>
        <w:t xml:space="preserve">13. §3.1, prevalence.</w:t>
      </w:r>
      <w:r>
        <w:t xml:space="preserve"> </w:t>
      </w:r>
      <w:r>
        <w:t xml:space="preserve">Add:</w:t>
      </w:r>
    </w:p>
    <w:p>
      <w:pPr>
        <w:pStyle w:val="BlockText"/>
      </w:pPr>
      <w:r>
        <w:t xml:space="preserve">The decline rate is 0.555 in every split, which is the chance level for PR-AUC.</w:t>
      </w:r>
    </w:p>
    <w:p>
      <w:pPr>
        <w:pStyle w:val="FirstParagraph"/>
      </w:pPr>
      <w:r>
        <w:rPr>
          <w:bCs/>
          <w:b/>
        </w:rPr>
        <w:t xml:space="preserve">14. Limitations.</w:t>
      </w:r>
      <w:r>
        <w:t xml:space="preserve"> </w:t>
      </w:r>
      <w:r>
        <w:t xml:space="preserve">Move this section before the Conclusion and replace it with:</w:t>
      </w:r>
    </w:p>
    <w:p>
      <w:pPr>
        <w:pStyle w:val="BlockText"/>
      </w:pPr>
      <w:r>
        <w:t xml:space="preserve">This study has several limitations. The split is at enrollment level and is stratified by module presentation. It does not test generalisation to a future cohort. Windows that move into withdrawal are excluded, so the most severe disengagement never forms a positive label. The threshold of 0.90 is an operational choice and has not been validated against later academic outcomes. Part of the signal may come from regression towards the personal baseline, because the baseline level is both an input and the reference for the label. The gains over the strongest tabular baseline are small. Finally, only one dataset is used.</w:t>
      </w:r>
    </w:p>
    <w:p>
      <w:pPr>
        <w:pStyle w:val="FirstParagraph"/>
      </w:pPr>
      <w:r>
        <w:t xml:space="preserve">Remove the sentences on the future-cohort split if the temporal split is added.</w:t>
      </w:r>
    </w:p>
    <w:p>
      <w:pPr>
        <w:pStyle w:val="BodyText"/>
      </w:pPr>
      <w:r>
        <w:rPr>
          <w:bCs/>
          <w:b/>
        </w:rPr>
        <w:t xml:space="preserve">15. Data Availability.</w:t>
      </w:r>
      <w:r>
        <w:t xml:space="preserve"> </w:t>
      </w:r>
      <w:r>
        <w:t xml:space="preserve">Replace with:</w:t>
      </w:r>
    </w:p>
    <w:p>
      <w:pPr>
        <w:pStyle w:val="BlockText"/>
      </w:pPr>
      <w:r>
        <w:t xml:space="preserve">The Open University Learning Analytics Dataset is publicly available at https://analyse.kmi.open.ac.uk/open_dataset under a CC-BY 4.0 licence (Kuzilek et al., 2017). The code, configuration files and scripts that reproduce all tables are available at [repository URL] (DOI: [DOI]).</w:t>
      </w:r>
    </w:p>
    <w:p>
      <w:pPr>
        <w:pStyle w:val="FirstParagraph"/>
      </w:pPr>
      <w:r>
        <w:t xml:space="preserve">Then add these statements:</w:t>
      </w:r>
    </w:p>
    <w:p>
      <w:pPr>
        <w:pStyle w:val="BlockText"/>
      </w:pPr>
      <w:r>
        <w:rPr>
          <w:bCs/>
          <w:b/>
        </w:rPr>
        <w:t xml:space="preserve">Ethics statement.</w:t>
      </w:r>
      <w:r>
        <w:t xml:space="preserve"> </w:t>
      </w:r>
      <w:r>
        <w:t xml:space="preserve">This study uses only public, anonymised data, and no ethical approval was required.</w:t>
      </w:r>
    </w:p>
    <w:p>
      <w:pPr>
        <w:pStyle w:val="BlockText"/>
      </w:pPr>
      <w:r>
        <w:rPr>
          <w:bCs/>
          <w:b/>
        </w:rPr>
        <w:t xml:space="preserve">Conflict of interest.</w:t>
      </w:r>
      <w:r>
        <w:t xml:space="preserve"> </w:t>
      </w:r>
      <w:r>
        <w:t xml:space="preserve">The authors declare no conflict of interest.</w:t>
      </w:r>
    </w:p>
    <w:p>
      <w:pPr>
        <w:pStyle w:val="BlockText"/>
      </w:pPr>
      <w:r>
        <w:rPr>
          <w:bCs/>
          <w:b/>
        </w:rPr>
        <w:t xml:space="preserve">Funding.</w:t>
      </w:r>
      <w:r>
        <w:t xml:space="preserve"> </w:t>
      </w:r>
      <w:r>
        <w:t xml:space="preserve">[Funding details, or</w:t>
      </w:r>
      <w:r>
        <w:t xml:space="preserve"> </w:t>
      </w:r>
      <w:r>
        <w:t xml:space="preserve">“</w:t>
      </w:r>
      <w:r>
        <w:t xml:space="preserve">This research received no external funding.</w:t>
      </w:r>
      <w:r>
        <w:t xml:space="preserve">”</w:t>
      </w:r>
      <w:r>
        <w:t xml:space="preserve">]</w:t>
      </w:r>
    </w:p>
    <w:p>
      <w:pPr>
        <w:pStyle w:val="FirstParagraph"/>
      </w:pPr>
      <w:r>
        <w:rPr>
          <w:bCs/>
          <w:b/>
        </w:rPr>
        <w:t xml:space="preserve">16. References.</w:t>
      </w:r>
    </w:p>
    <w:p>
      <w:pPr>
        <w:numPr>
          <w:ilvl w:val="0"/>
          <w:numId w:val="1004"/>
        </w:numPr>
        <w:pStyle w:val="Compact"/>
      </w:pPr>
      <w:r>
        <w:t xml:space="preserve">Add Kuzilek et al. (2017) to the reference list and cite it in §3.1.</w:t>
      </w:r>
    </w:p>
    <w:p>
      <w:pPr>
        <w:numPr>
          <w:ilvl w:val="0"/>
          <w:numId w:val="1004"/>
        </w:numPr>
        <w:pStyle w:val="Compact"/>
      </w:pPr>
      <w:r>
        <w:t xml:space="preserve">Add method citations for FiLM (Perez et al., 2018), TCN (Bai et al., 2018), FT-Transformer (Gorishniy et al., 2021), SHAP (Lundberg and Lee, 2017), LIME (Ribeiro et al., 2016), temperature scaling (Guo et al., 2017), split conformal prediction (a journal source) and the Holm procedure (Holm, 1979).</w:t>
      </w:r>
    </w:p>
    <w:p>
      <w:pPr>
        <w:numPr>
          <w:ilvl w:val="0"/>
          <w:numId w:val="1004"/>
        </w:numPr>
        <w:pStyle w:val="Compact"/>
      </w:pPr>
      <w:r>
        <w:t xml:space="preserve">Replace [7], [11], [16] and [28] with journal articles, or move them out of the problem-definition and related-work sections.</w:t>
      </w:r>
    </w:p>
    <w:p>
      <w:pPr>
        <w:numPr>
          <w:ilvl w:val="0"/>
          <w:numId w:val="1004"/>
        </w:numPr>
        <w:pStyle w:val="Compact"/>
      </w:pPr>
      <w:r>
        <w:t xml:space="preserve">Fix the Kord and Feng year mismatches, the title of [12], the missing venue for [18], and the missing volume and page for [25] and [26].</w:t>
      </w:r>
    </w:p>
    <w:p>
      <w:pPr>
        <w:pStyle w:val="FirstParagraph"/>
      </w:pPr>
      <w:r>
        <w:rPr>
          <w:bCs/>
          <w:b/>
        </w:rPr>
        <w:t xml:space="preserve">17. Introduction.</w:t>
      </w:r>
      <w:r>
        <w:t xml:space="preserve"> </w:t>
      </w:r>
      <w:r>
        <w:t xml:space="preserve">Add a final paragraph:</w:t>
      </w:r>
    </w:p>
    <w:p>
      <w:pPr>
        <w:pStyle w:val="BlockText"/>
      </w:pPr>
      <w:r>
        <w:t xml:space="preserve">The rest of this paper is organised as follows. Section 2 reviews related work. Section 3 describes the dataset, the target and the EBB-Net architecture. Section 4 reports the experiments, ablations, baseline comparisons and explanations. Section 5 concludes the paper.</w:t>
      </w:r>
    </w:p>
    <w:p>
      <w:pPr>
        <w:pStyle w:val="FirstParagraph"/>
      </w:pPr>
      <w:r>
        <w:rPr>
          <w:bCs/>
          <w:b/>
        </w:rPr>
        <w:t xml:space="preserve">18. Language.</w:t>
      </w:r>
    </w:p>
    <w:p>
      <w:pPr>
        <w:numPr>
          <w:ilvl w:val="0"/>
          <w:numId w:val="1005"/>
        </w:numPr>
        <w:pStyle w:val="Compact"/>
      </w:pPr>
      <w:r>
        <w:t xml:space="preserve">Choose one spelling standard (British fits the existing text) and one of</w:t>
      </w:r>
      <w:r>
        <w:t xml:space="preserve"> </w:t>
      </w:r>
      <w:r>
        <w:t xml:space="preserve">“</w:t>
      </w:r>
      <w:r>
        <w:t xml:space="preserve">enrollment</w:t>
      </w:r>
      <w:r>
        <w:t xml:space="preserve">”</w:t>
      </w:r>
      <w:r>
        <w:t xml:space="preserve">/</w:t>
      </w:r>
      <w:r>
        <w:t xml:space="preserve">“</w:t>
      </w:r>
      <w:r>
        <w:t xml:space="preserve">enrolment</w:t>
      </w:r>
      <w:r>
        <w:t xml:space="preserve">”</w:t>
      </w:r>
      <w:r>
        <w:t xml:space="preserve">.</w:t>
      </w:r>
    </w:p>
    <w:p>
      <w:pPr>
        <w:numPr>
          <w:ilvl w:val="0"/>
          <w:numId w:val="1005"/>
        </w:numPr>
        <w:pStyle w:val="Compact"/>
      </w:pPr>
      <w:r>
        <w:t xml:space="preserve">Split every sentence over three lines, especially in §4.6, §4.6.1, §4.6.2 and the Limitations.</w:t>
      </w:r>
    </w:p>
    <w:p>
      <w:pPr>
        <w:numPr>
          <w:ilvl w:val="0"/>
          <w:numId w:val="1005"/>
        </w:numPr>
        <w:pStyle w:val="Compact"/>
      </w:pPr>
      <w:r>
        <w:t xml:space="preserve">Fix the abstract fragment:</w:t>
      </w:r>
      <w:r>
        <w:t xml:space="preserve"> </w:t>
      </w:r>
      <w:r>
        <w:t xml:space="preserve">“</w:t>
      </w:r>
      <w:r>
        <w:t xml:space="preserve">…modulates them with static student context through feature-wise linear modulation and models six-week trajectories with a causal temporal convolutional network.</w:t>
      </w:r>
      <w:r>
        <w:t xml:space="preserve">”</w:t>
      </w:r>
    </w:p>
    <w:p>
      <w:pPr>
        <w:pStyle w:val="FirstParagraph"/>
      </w:pPr>
      <w:r>
        <w:rPr>
          <w:bCs/>
          <w:b/>
        </w:rPr>
        <w:t xml:space="preserve">19. Experiments to run before resubmission.</w:t>
      </w:r>
    </w:p>
    <w:p>
      <w:pPr>
        <w:numPr>
          <w:ilvl w:val="0"/>
          <w:numId w:val="1006"/>
        </w:numPr>
        <w:pStyle w:val="Compact"/>
      </w:pPr>
      <w:r>
        <w:t xml:space="preserve">Temporal 2013 → 2014 held-out split.</w:t>
      </w:r>
    </w:p>
    <w:p>
      <w:pPr>
        <w:numPr>
          <w:ilvl w:val="0"/>
          <w:numId w:val="1006"/>
        </w:numPr>
        <w:pStyle w:val="Compact"/>
      </w:pPr>
      <w:r>
        <w:t xml:space="preserve">Training-mean, presentation-only and metadata-only diagnostics.</w:t>
      </w:r>
    </w:p>
    <w:p>
      <w:pPr>
        <w:numPr>
          <w:ilvl w:val="0"/>
          <w:numId w:val="1006"/>
        </w:numPr>
        <w:pStyle w:val="Compact"/>
      </w:pPr>
      <w:r>
        <w:t xml:space="preserve">Persistence baseline using D_cur(t) and logB(t).</w:t>
      </w:r>
    </w:p>
    <w:p>
      <w:pPr>
        <w:numPr>
          <w:ilvl w:val="0"/>
          <w:numId w:val="1006"/>
        </w:numPr>
        <w:pStyle w:val="Compact"/>
      </w:pPr>
      <w:r>
        <w:t xml:space="preserve">Lagged-feature tree baselines.</w:t>
      </w:r>
    </w:p>
    <w:p>
      <w:pPr>
        <w:numPr>
          <w:ilvl w:val="0"/>
          <w:numId w:val="1006"/>
        </w:numPr>
        <w:pStyle w:val="Compact"/>
      </w:pPr>
      <w:r>
        <w:t xml:space="preserve">PR-AUC by history length (the early-prediction curve).</w:t>
      </w:r>
    </w:p>
    <w:p>
      <w:pPr>
        <w:numPr>
          <w:ilvl w:val="0"/>
          <w:numId w:val="1006"/>
        </w:numPr>
        <w:pStyle w:val="Compact"/>
      </w:pPr>
      <w:r>
        <w:t xml:space="preserve">Per-presentation PR-AUC.</w:t>
      </w:r>
    </w:p>
    <w:p>
      <w:pPr>
        <w:numPr>
          <w:ilvl w:val="0"/>
          <w:numId w:val="1006"/>
        </w:numPr>
        <w:pStyle w:val="Compact"/>
      </w:pPr>
      <w:r>
        <w:t xml:space="preserve">Supplementary Tables S1 (features), S2 (leakage checks) and S3 (search spaces).</w:t>
      </w:r>
    </w:p>
    <w:bookmarkEnd w:id="25"/>
    <w:bookmarkStart w:id="26" w:name="final-editorial-verdict"/>
    <w:p>
      <w:pPr>
        <w:pStyle w:val="Heading2"/>
      </w:pPr>
      <w:r>
        <w:t xml:space="preserve">6. Final Editorial Verdict</w:t>
      </w:r>
    </w:p>
    <w:p>
      <w:pPr>
        <w:pStyle w:val="FirstParagraph"/>
      </w:pPr>
      <w:r>
        <w:rPr>
          <w:bCs/>
          <w:b/>
        </w:rPr>
        <w:t xml:space="preserve">Major corrections required before resubmission.</w:t>
      </w:r>
    </w:p>
    <w:p>
      <w:pPr>
        <w:pStyle w:val="BodyText"/>
      </w:pPr>
      <w:r>
        <w:t xml:space="preserve">The redesign of the target is real and well executed. It resolves the core leakage that led to the first decision. However, the manuscript currently contains three problems that an editor will catch on first reading: false significance claims, mixed 3-seed and 10-seed results, and author notes and reviewer-facing text left in the body. Two analyses that both reviewers asked for (the temporal split and the leakage diagnostics) were not run, even though each takes little effort. Fix the ten critical issues in Section 1 and run the experiments in Section 5, item 19, before resubmitting.</w:t>
      </w:r>
    </w:p>
    <w:bookmarkEnd w:id="26"/>
    <w:bookmarkEnd w:id="27"/>
    <w:sectPr>
      <w:pgSz w:orient="landscape" w:w="16838" w:h="11906"/>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Calibri"/>
      <w:b/>
      <w:bCs/>
      <w:color w:val="1F3A5F"/>
      <w:sz w:val="36"/>
      <w:szCs w:val="36"/>
    </w:rPr>
  </w:style>
  <w:style w:styleId="Subtitle" w:type="paragraph">
    <w:name w:val="Subtitle"/>
    <w:basedOn w:val="Title"/>
    <w:next w:val="BodyText"/>
    <w:qFormat/>
    <w:pPr>
      <w:keepNext/>
      <w:keepLines/>
      <w:spacing w:after="240" w:before="240"/>
      <w:jc w:val="center"/>
    </w:pPr>
    <w:rPr>
      <w:rFonts w:ascii="Calibri" w:hAnsi="Calibri" w:eastAsia="Calibri"/>
      <w:sz w:val="30"/>
      <w:szCs w:val="30"/>
    </w:rPr>
  </w:style>
  <w:style w:customStyle="1" w:styleId="Author" w:type="paragraph">
    <w:name w:val="Author"/>
    <w:next w:val="BodyText"/>
    <w:qFormat/>
    <w:pPr>
      <w:keepNext/>
      <w:keepLines/>
      <w:jc w:val="center"/>
    </w:pPr>
    <w:rPr>
      <w:rFonts w:ascii="Calibri" w:hAnsi="Calibri" w:eastAsia="Calibri"/>
    </w:rPr>
  </w:style>
  <w:style w:styleId="Date" w:type="paragraph">
    <w:name w:val="Date"/>
    <w:next w:val="BodyText"/>
    <w:qFormat/>
    <w:pPr>
      <w:keepNext/>
      <w:keepLines/>
      <w:jc w:val="center"/>
    </w:pPr>
    <w:rPr>
      <w:rFonts w:ascii="Calibri" w:hAnsi="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eastAsia="Calibri"/>
      <w:sz w:val="20"/>
      <w:szCs w:val="20"/>
    </w:rPr>
  </w:style>
  <w:style w:styleId="Bibliography" w:type="paragraph">
    <w:name w:val="Bibliography"/>
    <w:basedOn w:val="Normal"/>
    <w:next w:val="Bibliography"/>
    <w:qFormat/>
    <w:pPr/>
    <w:rPr>
      <w:rFonts w:ascii="Calibri" w:hAnsi="Calibri" w:eastAsia="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eastAsia="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eastAsia="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eastAsia="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eastAsia="Calibri"/>
      <w:sz w:val="21"/>
    </w:rPr>
  </w:style>
  <w:style w:styleId="FootnoteText" w:type="paragraph">
    <w:name w:val="Footnote Text"/>
    <w:basedOn w:val="Normal"/>
    <w:next w:val="FootnoteText"/>
    <w:uiPriority w:val="9"/>
    <w:unhideWhenUsed/>
    <w:qFormat/>
    <w:rPr>
      <w:rFonts w:ascii="Calibri" w:hAnsi="Calibri" w:eastAsia="Calibri"/>
    </w:rPr>
  </w:style>
  <w:style w:default="1" w:styleId="DefaultParagraphFont" w:type="character">
    <w:name w:val="Default Paragraph Font"/>
    <w:semiHidden/>
    <w:unhideWhenUsed/>
    <w:rPr>
      <w:rFonts w:ascii="Calibri" w:hAnsi="Calibri" w:eastAsia="Calibri"/>
    </w:rPr>
  </w:style>
  <w:style w:default="1" w:styleId="Table" w:type="table">
    <w:name w:val="Table"/>
    <w:basedOn w:val="TableNormal"/>
    <w:semiHidden/>
    <w:unhideWhenUsed/>
    <w:qFormat/>
    <w:rPr>
      <w:rFonts w:ascii="Calibri" w:hAnsi="Calibri" w:eastAsia="Calib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eastAsia="Calibri"/>
      <w:b/>
    </w:rPr>
  </w:style>
  <w:style w:customStyle="1" w:styleId="Definition" w:type="paragraph">
    <w:name w:val="Definition"/>
    <w:basedOn w:val="Normal"/>
    <w:rPr>
      <w:rFonts w:ascii="Calibri" w:hAnsi="Calibri" w:eastAsia="Calibri"/>
    </w:rPr>
  </w:style>
  <w:style w:styleId="Caption" w:type="paragraph">
    <w:name w:val="Caption"/>
    <w:basedOn w:val="Normal"/>
    <w:link w:val="BodyTextChar"/>
    <w:pPr>
      <w:spacing w:after="120" w:before="0"/>
    </w:pPr>
    <w:rPr>
      <w:rFonts w:ascii="Calibri" w:hAnsi="Calibri" w:eastAsia="Calibri"/>
      <w:i/>
    </w:rPr>
  </w:style>
  <w:style w:customStyle="1" w:styleId="TableCaption" w:type="paragraph">
    <w:name w:val="Table Caption"/>
    <w:basedOn w:val="Caption"/>
    <w:pPr>
      <w:keepNext/>
    </w:pPr>
    <w:rPr>
      <w:rFonts w:ascii="Calibri" w:hAnsi="Calibri" w:eastAsia="Calibri"/>
    </w:rPr>
  </w:style>
  <w:style w:customStyle="1" w:styleId="ImageCaption" w:type="paragraph">
    <w:name w:val="Image Caption"/>
    <w:basedOn w:val="Caption"/>
    <w:rPr>
      <w:rFonts w:ascii="Calibri" w:hAnsi="Calibri" w:eastAsia="Calibri"/>
    </w:rPr>
  </w:style>
  <w:style w:customStyle="1" w:styleId="Figure" w:type="paragraph">
    <w:name w:val="Figure"/>
    <w:basedOn w:val="Normal"/>
    <w:rPr>
      <w:rFonts w:ascii="Calibri" w:hAnsi="Calibri" w:eastAsia="Calibri"/>
    </w:rPr>
  </w:style>
  <w:style w:customStyle="1" w:styleId="CaptionedFigure" w:type="paragraph">
    <w:name w:val="Captioned Figure"/>
    <w:basedOn w:val="Figure"/>
    <w:pPr>
      <w:keepNext/>
    </w:pPr>
    <w:rPr>
      <w:rFonts w:ascii="Calibri" w:hAnsi="Calibri" w:eastAsia="Calibri"/>
    </w:rPr>
  </w:style>
  <w:style w:customStyle="1" w:styleId="BodyTextChar" w:type="character">
    <w:name w:val="Body Text Char"/>
    <w:basedOn w:val="DefaultParagraphFont"/>
    <w:link w:val="BodyText"/>
    <w:rPr>
      <w:rFonts w:ascii="Calibri" w:hAnsi="Calibri" w:eastAsia="Calibri"/>
    </w:rPr>
  </w:style>
  <w:style w:customStyle="1" w:styleId="VerbatimChar" w:type="character">
    <w:name w:val="Verbatim Char"/>
    <w:basedOn w:val="BodyTextChar"/>
    <w:rPr>
      <w:rFonts w:ascii="Calibri" w:hAnsi="Calibri" w:eastAsia="Calibri"/>
      <w:sz w:val="22"/>
    </w:rPr>
  </w:style>
  <w:style w:customStyle="1" w:styleId="SectionNumber" w:type="character">
    <w:name w:val="Section Number"/>
    <w:basedOn w:val="BodyTextChar"/>
    <w:rPr>
      <w:rFonts w:ascii="Calibri" w:hAnsi="Calibri" w:eastAsia="Calibri"/>
    </w:rPr>
  </w:style>
  <w:style w:styleId="FootnoteReference" w:type="character">
    <w:name w:val="Footnote Reference"/>
    <w:basedOn w:val="BodyTextChar"/>
    <w:rPr>
      <w:rFonts w:ascii="Calibri" w:hAnsi="Calibri" w:eastAsia="Calibri"/>
      <w:vertAlign w:val="superscript"/>
    </w:rPr>
  </w:style>
  <w:style w:styleId="Hyperlink" w:type="character">
    <w:name w:val="Hyperlink"/>
    <w:basedOn w:val="BodyTextChar"/>
    <w:rPr>
      <w:rFonts w:ascii="Calibri" w:hAnsi="Calibri" w:eastAsia="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eastAsia="Calibri"/>
      <w:b w:val="0"/>
      <w:bCs w:val="0"/>
      <w:color w:themeColor="accent1" w:themeShade="BF" w:val="365F91"/>
    </w:rPr>
  </w:style>
  <w:style w:type="paragraph" w:customStyle="1" w:styleId="SourceCode">
    <w:name w:val="Source Code"/>
    <w:basedOn w:val="Normal"/>
    <w:link w:val="VerbatimChar"/>
    <w:pPr>
      <w:wordWrap w:val="off"/>
    </w:pPr>
    <w:rPr>
      <w:rFonts w:ascii="Calibri" w:hAnsi="Calibri" w:eastAsia="Calibri"/>
    </w:rPr>
  </w:style>
  <w:style w:type="character" w:customStyle="1" w:styleId="KeywordTok">
    <w:name w:val="KeywordTok"/>
    <w:basedOn w:val="VerbatimChar"/>
    <w:rPr>
      <w:color w:val="007020"/>
      <w:rFonts w:ascii="Calibri" w:hAnsi="Calibri" w:eastAsia="Calibri"/>
      <w:b/>
    </w:rPr>
  </w:style>
  <w:style w:type="character" w:customStyle="1" w:styleId="DataTypeTok">
    <w:name w:val="DataTypeTok"/>
    <w:basedOn w:val="VerbatimChar"/>
    <w:rPr>
      <w:rFonts w:ascii="Calibri" w:hAnsi="Calibri" w:eastAsia="Calibri"/>
      <w:color w:val="902000"/>
    </w:rPr>
  </w:style>
  <w:style w:type="character" w:customStyle="1" w:styleId="DecValTok">
    <w:name w:val="DecValTok"/>
    <w:basedOn w:val="VerbatimChar"/>
    <w:rPr>
      <w:rFonts w:ascii="Calibri" w:hAnsi="Calibri" w:eastAsia="Calibri"/>
      <w:color w:val="40a070"/>
    </w:rPr>
  </w:style>
  <w:style w:type="character" w:customStyle="1" w:styleId="BaseNTok">
    <w:name w:val="BaseNTok"/>
    <w:basedOn w:val="VerbatimChar"/>
    <w:rPr>
      <w:rFonts w:ascii="Calibri" w:hAnsi="Calibri" w:eastAsia="Calibri"/>
      <w:color w:val="40a070"/>
    </w:rPr>
  </w:style>
  <w:style w:type="character" w:customStyle="1" w:styleId="FloatTok">
    <w:name w:val="FloatTok"/>
    <w:basedOn w:val="VerbatimChar"/>
    <w:rPr>
      <w:rFonts w:ascii="Calibri" w:hAnsi="Calibri" w:eastAsia="Calibri"/>
      <w:color w:val="40a070"/>
    </w:rPr>
  </w:style>
  <w:style w:type="character" w:customStyle="1" w:styleId="ConstantTok">
    <w:name w:val="ConstantTok"/>
    <w:basedOn w:val="VerbatimChar"/>
    <w:rPr>
      <w:rFonts w:ascii="Calibri" w:hAnsi="Calibri" w:eastAsia="Calibri"/>
      <w:color w:val="880000"/>
    </w:rPr>
  </w:style>
  <w:style w:type="character" w:customStyle="1" w:styleId="CharTok">
    <w:name w:val="CharTok"/>
    <w:basedOn w:val="VerbatimChar"/>
    <w:rPr>
      <w:rFonts w:ascii="Calibri" w:hAnsi="Calibri" w:eastAsia="Calibri"/>
      <w:color w:val="4070a0"/>
    </w:rPr>
  </w:style>
  <w:style w:type="character" w:customStyle="1" w:styleId="SpecialCharTok">
    <w:name w:val="SpecialCharTok"/>
    <w:basedOn w:val="VerbatimChar"/>
    <w:rPr>
      <w:rFonts w:ascii="Calibri" w:hAnsi="Calibri" w:eastAsia="Calibri"/>
      <w:color w:val="4070a0"/>
    </w:rPr>
  </w:style>
  <w:style w:type="character" w:customStyle="1" w:styleId="StringTok">
    <w:name w:val="StringTok"/>
    <w:basedOn w:val="VerbatimChar"/>
    <w:rPr>
      <w:rFonts w:ascii="Calibri" w:hAnsi="Calibri" w:eastAsia="Calibri"/>
      <w:color w:val="4070a0"/>
    </w:rPr>
  </w:style>
  <w:style w:type="character" w:customStyle="1" w:styleId="VerbatimStringTok">
    <w:name w:val="VerbatimStringTok"/>
    <w:basedOn w:val="VerbatimChar"/>
    <w:rPr>
      <w:rFonts w:ascii="Calibri" w:hAnsi="Calibri" w:eastAsia="Calibri"/>
      <w:color w:val="4070a0"/>
    </w:rPr>
  </w:style>
  <w:style w:type="character" w:customStyle="1" w:styleId="SpecialStringTok">
    <w:name w:val="SpecialStringTok"/>
    <w:basedOn w:val="VerbatimChar"/>
    <w:rPr>
      <w:rFonts w:ascii="Calibri" w:hAnsi="Calibri" w:eastAsia="Calibri"/>
      <w:color w:val="bb6688"/>
    </w:rPr>
  </w:style>
  <w:style w:type="character" w:customStyle="1" w:styleId="ImportTok">
    <w:name w:val="ImportTok"/>
    <w:basedOn w:val="VerbatimChar"/>
    <w:rPr>
      <w:color w:val="008000"/>
      <w:rFonts w:ascii="Calibri" w:hAnsi="Calibri" w:eastAsia="Calibri"/>
      <w:b/>
    </w:rPr>
  </w:style>
  <w:style w:type="character" w:customStyle="1" w:styleId="CommentTok">
    <w:name w:val="CommentTok"/>
    <w:basedOn w:val="VerbatimChar"/>
    <w:rPr>
      <w:color w:val="60a0b0"/>
      <w:rFonts w:ascii="Calibri" w:hAnsi="Calibri" w:eastAsia="Calibri"/>
      <w:i/>
    </w:rPr>
  </w:style>
  <w:style w:type="character" w:customStyle="1" w:styleId="DocumentationTok">
    <w:name w:val="DocumentationTok"/>
    <w:basedOn w:val="VerbatimChar"/>
    <w:rPr>
      <w:color w:val="ba2121"/>
      <w:rFonts w:ascii="Calibri" w:hAnsi="Calibri" w:eastAsia="Calibri"/>
      <w:i/>
    </w:rPr>
  </w:style>
  <w:style w:type="character" w:customStyle="1" w:styleId="AnnotationTok">
    <w:name w:val="AnnotationTok"/>
    <w:basedOn w:val="VerbatimChar"/>
    <w:rPr>
      <w:color w:val="60a0b0"/>
      <w:rFonts w:ascii="Calibri" w:hAnsi="Calibri" w:eastAsia="Calibri"/>
      <w:b/>
      <w:i/>
    </w:rPr>
  </w:style>
  <w:style w:type="character" w:customStyle="1" w:styleId="CommentVarTok">
    <w:name w:val="CommentVarTok"/>
    <w:basedOn w:val="VerbatimChar"/>
    <w:rPr>
      <w:color w:val="60a0b0"/>
      <w:rFonts w:ascii="Calibri" w:hAnsi="Calibri" w:eastAsia="Calibri"/>
      <w:b/>
      <w:i/>
    </w:rPr>
  </w:style>
  <w:style w:type="character" w:customStyle="1" w:styleId="OtherTok">
    <w:name w:val="OtherTok"/>
    <w:basedOn w:val="VerbatimChar"/>
    <w:rPr>
      <w:rFonts w:ascii="Calibri" w:hAnsi="Calibri" w:eastAsia="Calibri"/>
      <w:color w:val="007020"/>
    </w:rPr>
  </w:style>
  <w:style w:type="character" w:customStyle="1" w:styleId="FunctionTok">
    <w:name w:val="FunctionTok"/>
    <w:basedOn w:val="VerbatimChar"/>
    <w:rPr>
      <w:rFonts w:ascii="Calibri" w:hAnsi="Calibri" w:eastAsia="Calibri"/>
      <w:color w:val="06287e"/>
    </w:rPr>
  </w:style>
  <w:style w:type="character" w:customStyle="1" w:styleId="VariableTok">
    <w:name w:val="VariableTok"/>
    <w:basedOn w:val="VerbatimChar"/>
    <w:rPr>
      <w:rFonts w:ascii="Calibri" w:hAnsi="Calibri" w:eastAsia="Calibri"/>
      <w:color w:val="19177c"/>
    </w:rPr>
  </w:style>
  <w:style w:type="character" w:customStyle="1" w:styleId="ControlFlowTok">
    <w:name w:val="ControlFlowTok"/>
    <w:basedOn w:val="VerbatimChar"/>
    <w:rPr>
      <w:color w:val="007020"/>
      <w:rFonts w:ascii="Calibri" w:hAnsi="Calibri" w:eastAsia="Calibri"/>
      <w:b/>
    </w:rPr>
  </w:style>
  <w:style w:type="character" w:customStyle="1" w:styleId="OperatorTok">
    <w:name w:val="OperatorTok"/>
    <w:basedOn w:val="VerbatimChar"/>
    <w:rPr>
      <w:rFonts w:ascii="Calibri" w:hAnsi="Calibri" w:eastAsia="Calibri"/>
      <w:color w:val="666666"/>
    </w:rPr>
  </w:style>
  <w:style w:type="character" w:customStyle="1" w:styleId="BuiltInTok">
    <w:name w:val="BuiltInTok"/>
    <w:basedOn w:val="VerbatimChar"/>
    <w:rPr>
      <w:rFonts w:ascii="Calibri" w:hAnsi="Calibri" w:eastAsia="Calibri"/>
      <w:color w:val="008000"/>
    </w:rPr>
  </w:style>
  <w:style w:type="character" w:customStyle="1" w:styleId="ExtensionTok">
    <w:name w:val="ExtensionTok"/>
    <w:basedOn w:val="VerbatimChar"/>
    <w:rPr>
      <w:rFonts w:ascii="Calibri" w:hAnsi="Calibri" w:eastAsia="Calibri"/>
    </w:rPr>
  </w:style>
  <w:style w:type="character" w:customStyle="1" w:styleId="PreprocessorTok">
    <w:name w:val="PreprocessorTok"/>
    <w:basedOn w:val="VerbatimChar"/>
    <w:rPr>
      <w:rFonts w:ascii="Calibri" w:hAnsi="Calibri" w:eastAsia="Calibri"/>
      <w:color w:val="bc7a00"/>
    </w:rPr>
  </w:style>
  <w:style w:type="character" w:customStyle="1" w:styleId="AttributeTok">
    <w:name w:val="AttributeTok"/>
    <w:basedOn w:val="VerbatimChar"/>
    <w:rPr>
      <w:rFonts w:ascii="Calibri" w:hAnsi="Calibri" w:eastAsia="Calibri"/>
      <w:color w:val="7d9029"/>
    </w:rPr>
  </w:style>
  <w:style w:type="character" w:customStyle="1" w:styleId="RegionMarkerTok">
    <w:name w:val="RegionMarkerTok"/>
    <w:basedOn w:val="VerbatimChar"/>
    <w:rPr>
      <w:rFonts w:ascii="Calibri" w:hAnsi="Calibri" w:eastAsia="Calibri"/>
    </w:rPr>
  </w:style>
  <w:style w:type="character" w:customStyle="1" w:styleId="InformationTok">
    <w:name w:val="InformationTok"/>
    <w:basedOn w:val="VerbatimChar"/>
    <w:rPr>
      <w:color w:val="60a0b0"/>
      <w:rFonts w:ascii="Calibri" w:hAnsi="Calibri" w:eastAsia="Calibri"/>
      <w:b/>
      <w:i/>
    </w:rPr>
  </w:style>
  <w:style w:type="character" w:customStyle="1" w:styleId="WarningTok">
    <w:name w:val="WarningTok"/>
    <w:basedOn w:val="VerbatimChar"/>
    <w:rPr>
      <w:color w:val="60a0b0"/>
      <w:rFonts w:ascii="Calibri" w:hAnsi="Calibri" w:eastAsia="Calibri"/>
      <w:b/>
      <w:i/>
    </w:rPr>
  </w:style>
  <w:style w:type="character" w:customStyle="1" w:styleId="AlertTok">
    <w:name w:val="AlertTok"/>
    <w:basedOn w:val="VerbatimChar"/>
    <w:rPr>
      <w:color w:val="ff0000"/>
      <w:rFonts w:ascii="Calibri" w:hAnsi="Calibri" w:eastAsia="Calibri"/>
      <w:b/>
    </w:rPr>
  </w:style>
  <w:style w:type="character" w:customStyle="1" w:styleId="ErrorTok">
    <w:name w:val="ErrorTok"/>
    <w:basedOn w:val="VerbatimChar"/>
    <w:rPr>
      <w:color w:val="ff0000"/>
      <w:rFonts w:ascii="Calibri" w:hAnsi="Calibri" w:eastAsia="Calibri"/>
      <w:b/>
    </w:rPr>
  </w:style>
  <w:style w:type="character" w:customStyle="1" w:styleId="NormalTok">
    <w:name w:val="NormalTok"/>
    <w:basedOn w:val="VerbatimChar"/>
    <w:rPr>
      <w:rFonts w:ascii="Calibri" w:hAnsi="Calibri" w:eastAsia="Calibri"/>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2026-10-28T09:36:14Z</dcterms:created>
  <dcterms:modified xsi:type="dcterms:W3CDTF">2026-10-28T09:36:14Z</dcterms:modified>
</cp:coreProperties>
</file>

<file path=docProps/custom.xml><?xml version="1.0" encoding="utf-8"?>
<Properties xmlns="http://schemas.openxmlformats.org/officeDocument/2006/custom-properties" xmlns:vt="http://schemas.openxmlformats.org/officeDocument/2006/docPropsVTypes"/>
</file>