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6DFBD22D" w14:textId="77777777" w:rsidR="006A54B3" w:rsidRDefault="00EC36B2"><w:pPr><w:pStyle w:val="Heading1"/></w:pPr><w:r><w:t>Response to Reviewers — Revised Manuscript (EBB-Net)</w:t></w:r></w:p><w:p w14:paraId="4D6FD294" w14:textId="77777777" w:rsidR="006A54B3" w:rsidRDefault="00EC36B2"><w:r><w:t xml:space="preserve">Rather than patch the original EEI/CSI regression task, we redesigned the prediction problem from the ground up. The manuscript is resubmitted under a new title, </w:t></w:r><w:r><w:rPr><w:b/></w:rPr><w:t>EBB-Net</w:t></w:r><w:r><w:t xml:space="preserve">, predicting a </w:t></w:r><w:r><w:rPr><w:b/></w:rPr><w:t>per-student, per-week binary engagement-decline label</w:t></w:r><w:r><w:t xml:space="preserve"> (Section 3.3) in place of the two presentation-level indices (EEI, CSI). This directly removes the root cause the Editor and both reviewers identified — a continuous target with only 22 distinct values broadcast down to 28,497 student rows — rather than attempting to statistically correct for it. Below we respond to each comment individually and state, for each one, whether it is resolved, resolved by the redesign, partially resolved, or still open.</w:t></w:r></w:p><w:p w14:paraId="55EE5F8A" w14:textId="77777777" w:rsidR="006A54B3" w:rsidRDefault="006A54B3"><w:pPr><w:pBdr><w:bottom w:val="single" w:sz="6" w:space="1" w:color="auto"/></w:pBdr></w:pPr></w:p><w:p w14:paraId="34D420ED" w14:textId="77777777" w:rsidR="006A54B3" w:rsidRDefault="00EC36B2"><w:pPr><w:pStyle w:val="Heading2"/></w:pPr><w:r><w:t>Response to the Editor</w:t></w:r></w:p><w:p w14:paraId="48FFFE3C" w14:textId="77777777" w:rsidR="006A54B3" w:rsidRDefault="00EC36B2"><w:r><w:rPr><w:b/></w:rPr><w:t>Comment 1.</w:t></w:r><w:r><w:t xml:space="preserve"> </w:t></w:r><w:r><w:rPr><w:i/></w:rPr><w:t>The target variables (EEI and CSI) are aggregated at the module-presentation level (22 values) but assigned to individual students, so the model inadvertently classifies the module ID.</w:t></w:r></w:p><w:p w14:paraId="1FC93158" w14:textId="77777777" w:rsidR="006A54B3" w:rsidRDefault="00EC36B2"><w:r><w:rPr><w:b/></w:rPr><w:t>Response — Resolved by redesign.</w:t></w:r><w:r><w:t xml:space="preserve"> EEI and CSI have been removed entirely. The new target is defined per enrollment-week: a student's own week-(t+1) behaviour compared with their own personal baseline from weeks (t-4) through (t) (Section 3.3, Eq. 5–8). Every one of the 574,461 labelled windows now carries a label computed from that individual enrollment's history, not from a presentation-level aggregate. There are no longer 22 distinct label values; labels vary continuously with each student's own activity.</w:t></w:r></w:p><w:p w14:paraId="0476C5E1" w14:textId="77777777" w:rsidR="006A54B3" w:rsidRDefault="00EC36B2"><w:r><w:rPr><w:b/></w:rPr><w:t>Comment 2.</w:t></w:r><w:r><w:t xml:space="preserve"> </w:t></w:r><w:r><w:rPr><w:i/></w:rPr><w:t>Static models (MLP) outperforming temporal models (LSTM) proves the temporal branch was processing noise.</w:t></w:r></w:p><w:p w14:paraId="5B91F219" w14:textId="77777777" w:rsidR="006A54B3" w:rsidRDefault="00EC36B2"><w:r><w:rPr><w:b/></w:rPr><w:t>Response — Resolved by redesign.</w:t></w:r><w:r><w:t xml:space="preserve"> With the leakage source removed, the ordering now runs the other way: on the test set, the single-week MLP reaches PR-AUC 0.7983, the GRU 0.8046, the TCN 0.8048 and EBB-Net 0.8105 (Table 10). Models that use more temporal history now outperform the single-week MLP on PR-AUC (GRU 0.8046, TCN 0.8048 vs MLP 0.7983). However, the single-week gradient-boosted tree baselines (LightGBM 0.8061, XGBoost 0.8058) exceed both sequence models, and removing the TCN from EBB-Net reduces PR-AUC by only 0.0006 (ablation A3, Table 9). We therefore no longer claim that temporal modelling is the primary source of performance gain; §4.6 has been revised to state this clearly.</w:t></w:r></w:p><w:p w14:paraId="09018D1D" w14:textId="77777777" w:rsidR="006A54B3" w:rsidRDefault="00EC36B2"><w:r><w:rPr><w:b/></w:rPr><w:t>Comment 3.</w:t></w:r><w:r><w:t xml:space="preserve"> </w:t></w:r><w:r><w:rPr><w:i/></w:rPr><w:t>The SHAP analysis mistakes data leakage for insight; the top-ranked features are module identifiers.</w:t></w:r></w:p><w:p w14:paraId="1B8F57D2" w14:textId="77777777" w:rsidR="006A54B3" w:rsidRDefault="00EC36B2"><w:r><w:rPr><w:b/></w:rPr><w:t>Response — Resolved.</w:t></w:r><w:r><w:t xml:space="preserve"> The SHAP analysis (Section 4.7) was re-run on the new model. No demographic or module/course-identifying feature appears among the twenty highest-ranked features. The dominant features are the student's own current-week behavioural ratios relative to their personal baseline (e.g., r_cur_total_clicks (t)) and the baseline levels themselves — exactly the features the target is defined from, not metadata that identifies the presentation.</w:t></w:r></w:p><w:p w14:paraId="6528D54D" w14:textId="77777777" w:rsidR="006A54B3" w:rsidRDefault="00EC36B2"><w:r><w:rPr><w:b/></w:rPr><w:t>Comment 4.</w:t></w:r><w:r><w:t xml:space="preserve"> </w:t></w:r><w:r><w:rPr><w:i/></w:rPr><w:t>Severe formatting and typographical errors in core mathematical formulas.</w:t></w:r></w:p><w:p w14:paraId="6A8BC5C9" w14:textId="77777777" w:rsidR="006A54B3" w:rsidRDefault="00EC36B2"><w:r><w:rPr><w:b/></w:rPr><w:t>Response — Resolved.</w:t></w:r><w:r><w:t xml:space="preserve"> All equations were rewritten for the new target and architecture (Eqs. 1–19). Remaining notation errors have been corrected in this revision: the binary logit symbol z_t was added to §3.5; the true label symbol in Eq. 10 text was corrected from ŷ_t to y_t; d_t and W_t are now defined at their first use; L_δ and D_cur are now numbered as display equations. We also added a Data </w:t><w:lastRenderedPageBreak/><w:t>and Code Availability statement and fixed inconsistent component naming (see response to Reviewer 2, Comment 10).</w:t></w:r></w:p><w:p w14:paraId="0F2F8F8E" w14:textId="77777777" w:rsidR="006A54B3" w:rsidRDefault="006A54B3"><w:pPr><w:pBdr><w:bottom w:val="single" w:sz="6" w:space="1" w:color="auto"/></w:pBdr></w:pPr></w:p><w:p w14:paraId="2EA304C4" w14:textId="77777777" w:rsidR="006A54B3" w:rsidRDefault="00EC36B2"><w:pPr><w:pStyle w:val="Heading2"/></w:pPr><w:r><w:t>Response to Reviewer 1</w:t></w:r></w:p><w:p w14:paraId="3EFAA64D" w14:textId="77777777" w:rsidR="006A54B3" w:rsidRDefault="00EC36B2"><w:pPr><w:pStyle w:val="Heading3"/></w:pPr><w:r><w:t>Section 1 — Measurement</w:t></w:r></w:p><w:p w14:paraId="30CA9C4F" w14:textId="77777777" w:rsidR="006A54B3" w:rsidRDefault="00EC36B2"><w:r><w:rPr><w:b/></w:rPr><w:t>1.1 The regression has 22 distinct labels, not 28,497; fix: group or temporal evaluation.</w:t></w:r></w:p><w:p w14:paraId="67DB4F59" w14:textId="6E210585" w:rsidR="006A54B3" w:rsidRDefault="00EC36B2"><w:r><w:rPr><w:b/></w:rPr><w:t>Response — Resolved by redesign.</w:t></w:r><w:r><w:t xml:space="preserve"> The label-sharing problem no longer exists: the new target is computed per enrollment-week from that enrollment's own data, so there is no cluster-structured label and no presentation-level broadcast to correct for (Section 3.3). We did </w:t></w:r><w:r><w:rPr><w:b/></w:rPr><w:t>not</w:t></w:r><w:r><w:t xml:space="preserve">, however, adopt the specific fix the reviewer recommends as strongest — a temporal, presentation-held-out split training on 2013B/2013J and testing on 2014B/2014J. The current split (Section 3.1) is enrollment-level, stratified by module presentation and withdrawal status, with imputation/scaling/baselines fit on the training partition only. We report this as an explicit open limitation (manuscript Limitations section) rather than claiming it is resolved: current results demonstrate generalisation to held-out enrollments, not to a genuinely future, unseen cohort. We ask the Editor's guidance on whether this remaining gap is acceptable given the removal of the leakage mechanism that motivated the original request, or whether the temporal split is required before further review.</w:t></w:r></w:p><w:p w14:paraId="63800290" w14:textId="77777777" w:rsidR="006A54B3" w:rsidRDefault="00EC36B2"><w:r><w:rPr><w:b/></w:rPr><w:t>1.2 Target components share tables with predictors; fix: full feature table, index formulae, handling of date_unregistration, negative dates, banked scores.</w:t></w:r></w:p><w:p w14:paraId="40EF4A78" w14:textId="77777777" w:rsidR="006A54B3" w:rsidRDefault="00EC36B2"><w:r><w:rPr><w:b/></w:rPr><w:t>Response — Resolved by redesign.</w:t></w:r><w:r><w:t xml:space="preserve"> The new target (Section 3.3, Eq. 5–8) is built only from the student's own week t+1 total clicks, active days and unique sites, compared with their own median over weeks (t-4)…(t). The next-week values and the change score itself are explicitly excluded from the model inputs (Section 3.3: &quot;The next-week change score and its component ratios are stored for label construction and analysis, not included among the model inputs&quot;). Section 3.3 gives the complete list of the 82 dynamic and 34 static features by group. date_unregistration is used only to define the observation window (a week is unobserved from withdrawal onward; Section 3.1) and does not enter the feature set. Section 3.2 states explicitly that pre-course (negative-date) clicks are retained as pre-course activity and are not treated as missing, and that assessment scores are lagged by one week to represent marking delay and avoid using not-yet-available scores (Section 3.3).</w:t></w:r></w:p><w:p w14:paraId="3708B69C" w14:textId="77777777" w:rsidR="006A54B3" w:rsidRDefault="00EC36B2"><w:r><w:rPr><w:b/></w:rPr><w:t>1.3 &quot;Curriculum stress&quot; is a psychological label without validation; fix: convergent validity or rename.</w:t></w:r></w:p><w:p w14:paraId="6452506B" w14:textId="77777777" w:rsidR="006A54B3" w:rsidRDefault="00EC36B2"><w:r><w:rPr><w:b/></w:rPr><w:t>Response — Resolved by redesign (option b).</w:t></w:r><w:r><w:t xml:space="preserve"> CSI and EEI, and the &quot;stress&quot;/&quot;effectiveness&quot; framing, have been removed. The new target is named and described purely behaviourally: &quot;next-week behavioural engagement decline relative to personal baseline&quot; (Section 3.3, Section 4.1). No psychological or affective construct is claimed, and no construct-validity claim is made for it, since it is a directly observable behavioural quantity (a ratio of click/activity counts), not an aggregate index requiring external validation.</w:t></w:r></w:p><w:p w14:paraId="44E3F93B" w14:textId="77777777" w:rsidR="006A54B3" w:rsidRDefault="00EC36B2"><w:pPr><w:pStyle w:val="Heading3"/></w:pPr><w:r><w:lastRenderedPageBreak/><w:t>Section 2 — Evaluation protocol</w:t></w:r></w:p><w:p w14:paraId="78DD1689" w14:textId="77777777" w:rsidR="006A54B3" w:rsidRDefault="00EC36B2"><w:r><w:rPr><w:b/></w:rPr><w:t>2.1 No split described; early-prediction claim untested.</w:t></w:r></w:p><w:p w14:paraId="54B67842" w14:textId="77777777" w:rsidR="006A54B3" w:rsidRDefault="00EC36B2"><w:r><w:rPr><w:b/></w:rPr><w:t>Response — Resolved (split); early-detection framing removed.</w:t></w:r><w:r><w:t xml:space="preserve"> Section 3.1 and Table 2 now give the exact split: enrollment-level, 70/15/15 train/validation/test, stratified by module presentation and withdrawal status within 44 strata, fit on training enrollments only, with exact student/enrollment/row counts per split. The manuscript no longer claims early detection of curriculum effectiveness or stress; the task is now explicitly next-week behavioural decline prediction from a six-week rolling window (Section 3.1, 4.1). We have not added a truncation-at-week-k curve (weeks 4, 8, 12, …); this remains open for future work, consistent with the model's new framing as weekly early-warning rather than end-of-course reconstruction.</w:t></w:r></w:p><w:p w14:paraId="77306ACB" w14:textId="77777777" w:rsidR="006A54B3" w:rsidRDefault="00EC36B2"><w:r><w:rPr><w:b/></w:rPr><w:t>2.2 Headline numbers are the best of four seeds, selected on the test set.</w:t></w:r></w:p><w:p w14:paraId="177DE064" w14:textId="77777777" w:rsidR="006A54B3" w:rsidRDefault="00EC36B2"><w:r><w:rPr><w:b/></w:rPr><w:t>Response — Resolved.</w:t></w:r><w:r><w:t xml:space="preserve"> All headline numbers in Tables 9–11 and the abstract are now mean ± SD over ten seeds (42–51). Tables 6, 7 and 8 and Figures 3 and 4 previously reported three-seed values; these have been updated to ten seeds in this revision. The Conclusion and §3.5 seed references have also been corrected. Model selection uses validation PR-AUC only; the test set is touched once per seed.</w:t></w:r></w:p><w:p w14:paraId="53160C82" w14:textId="77777777" w:rsidR="006A54B3" w:rsidRDefault="00EC36B2"><w:r><w:rPr><w:b/></w:rPr><w:t>2.3 Reported statistics do not reconcile; CIs are miscalculated; Wilcoxon p &lt; 0.001 impossible at n = 4.</w:t></w:r></w:p><w:p w14:paraId="0FEAA934" w14:textId="77777777" w:rsidR="006A54B3" w:rsidRDefault="00EC36B2"><w:r><w:rPr><w:b/></w:rPr><w:t>Response — Resolved.</w:t></w:r><w:r><w:t xml:space="preserve"> With ten real seeds, a two-sided exact Wilcoxon signed-rank test is well-defined (minimum attainable two-sided p at n = 10 is 1/512 ≈ 0.00195, achievable and correctly computed; see Table 11). We report, for every model comparison, the pairing unit (seed), n (10), the test statistic, the raw p-value, the Holm-Bonferroni-corrected p-value across all 36 comparisons performed, and a numeric effect size (matched-pairs rank-biserial correlation r). Summary tables (9–12) are generated from the same per-seed result files. Note: with n = 10 seeds and 36 simultaneous comparisons, the smallest attainable Holm-corrected p-value is 0.070; the current Table 11 Holm p-values of 0.117 do not reach p < 0.05, so the significance language in §4.6 and the Limitations has been corrected to remove the claim of statistical significance.</w:t></w:r></w:p><w:p w14:paraId="3869D86D" w14:textId="77777777" w:rsidR="006A54B3" w:rsidRDefault="00EC36B2"><w:r><w:rPr><w:b/></w:rPr><w:t xml:space="preserve">2.4 The comparison set is not appropriate; add GBM/RF/ridge; correct the DAKTN MAE claim.</w:t></w:r></w:p><w:p w14:paraId="4FA0B1B4" w14:textId="77777777" w:rsidR="006A54B3" w:rsidRDefault="00EC36B2"><w:r><w:rPr><w:b/></w:rPr><w:t>Response — Resolved.</w:t></w:r><w:r><w:t xml:space="preserve"> We removed the knowledge-tracing comparators (SAKT, AKT, DAKTN, CL4KT), which the reviewer correctly identified as a mismatch for an untagged, non-KC dataset, and replaced them with the comparison the reviewer recommended: XGBoost, LightGBM, Random Forest and L2-regularised logistic regression (the ridge-classifier analogue, since the task is now binary classification rather than regression), trained on the identical last-week-plus-static feature set used by the MLP baseline, under the same split and the same ten seeds, with an equal, stated tuning budget (random search, same number of trials as the neural SOTA models). Results are in Table 10; EBB-Net outperforms all seven baselines, including the strongest, LightGBM, by 0.0044 PR-AUC. The DAKTN comparison and its MAE error no longer apply, as DAKTN is no longer part of the comparison set. We did not add the three requested leakage-diagnostic baselines (training-mean predictor, presentation-identifier-only predictor, metadata-only predictor) from Reviewer 1's Requirement 2, since the new target construction (Section 3.3) does not depend on presentation identity at all; we note this as a simplification rather than claiming the diagnostic was run.</w:t></w:r></w:p><w:p w14:paraId="62CE13A4" w14:textId="77777777" w:rsidR="006A54B3" w:rsidRDefault="00EC36B2"><w:r><w:rPr><w:b/></w:rPr><w:t>2.5 Batch-dependent inference; undefined ablated components (CBGF, AEML, consistency loss).</w:t></w:r></w:p><w:p w14:paraId="16D45ED6" w14:textId="77777777" w:rsidR="006A54B3" w:rsidRDefault="00EC36B2"><w:r><w:rPr><w:b/></w:rPr><w:t>Response — Resolved.</w:t></w:r><w:r><w:t xml:space="preserve"> The Cross-Student Transformer has been removed from the architecture. EBB-Net's temporal branch (Section 3.4) is a causal temporal convolutional network with masked attention </w:t><w:lastRenderedPageBreak/><w:t xml:space="preserve">pooling applied within a single enrollment's own time steps; there is no attention or normalisation across students in a batch. We measured inference latency directly (new Section 4.6.2): batched (batch size 4096) and single-row (batch size 1) inference give identical predictions by construction, since no cross-sample computation exists, and we report batched throughput (51,959 rows/s) and single-row latency (4.18 ms/row) explicitly. Cross-Branch Gated Fusion, Adaptive Error-Margin Learning and the cross-task consistency loss have all been removed from the architecture description, abstract and ablation study; the current ablations (A1–A5, Section 4.5, Table 9) test components that are fully defined in Section 3.4–3.5 (group tokens, Context-FiLM, the temporal TCN, the binary head, and the change-score regression head).</w:t></w:r></w:p><w:p w14:paraId="6C46EC90" w14:textId="77777777" w:rsidR="006A54B3" w:rsidRDefault="00EC36B2"><w:pPr><w:pStyle w:val="Heading3"/></w:pPr><w:r><w:t>Section 3 — Reproducibility</w:t></w:r></w:p><w:p w14:paraId="77EE52AF" w14:textId="77777777" w:rsidR="006A54B3" w:rsidRDefault="00EC36B2"><w:r><w:rPr><w:b/></w:rPr><w:t>Response — Partially resolved.</w:t></w:r><w:r><w:t xml:space="preserve"> Section 3.1–3.3 now give the complete derivation pipeline in text: week assignment, cleaning rules, exclusion criteria, all feature groups, and the exact target formulae with weights (Eqs. 1–8). Parameter count (238,575 trainable parameters) and training/inference time (new Table 12, Section 4.6.2) are now reported. A Data and Code Availability Statement citing the OULAD data descriptor (Kuzilek, Hlosta &amp; Zdrahal, 2017, Scientific Data 4:170171) under CC-BY 4.0 has been added at the end of the manuscript. We have </w:t></w:r><w:r><w:rPr><w:b/></w:rPr><w:t>not yet</w:t></w:r><w:r><w:t xml:space="preserve"> deposited a DOI-bearing public code repository; the availability statement currently contains a placeholder for the authors to insert the repository link (or a statement of availability on request) before submission. We flag this as the one reproducibility item still open.</w:t></w:r></w:p><w:p w14:paraId="0CE705E1" w14:textId="77777777" w:rsidR="006A54B3" w:rsidRDefault="00EC36B2"><w:pPr><w:pStyle w:val="Heading3"/></w:pPr><w:r><w:t>Section 4 — Requirements for resubmission</w:t></w:r></w:p><w:tbl><w:tblPr><w:tblStyle w:val="TableGrid"/><w:tblW w:w="0" w:type="auto"/><w:tblLayout w:type="fixed"/><w:tblLook w:val="0420" w:firstRow="1" w:lastRow="0" w:firstColumn="0" w:lastColumn="0" w:noHBand="0" w:noVBand="1"/></w:tblPr><w:tblGrid><w:gridCol w:w="720"/><w:gridCol w:w="3720"/><w:gridCol w:w="4920"/></w:tblGrid><w:tr w:rsidR="006A54B3" w14:paraId="5CB753B2" w14:textId="77777777"><w:trPr><w:tblHeader/></w:trPr><w:tc><w:tcPr><w:tcW w:w="720" w:type="dxa"/><w:shd w:val="clear" w:color="auto" w:fill="F2F2F2"/></w:tcPr><w:p w14:paraId="15D9376C" w14:textId="77777777" w:rsidR="006A54B3" w:rsidRDefault="00EC36B2"><w:r><w:t>#</w:t></w:r></w:p></w:tc><w:tc><w:tcPr><w:tcW w:w="3720" w:type="dxa"/><w:shd w:val="clear" w:color="auto" w:fill="F2F2F2"/></w:tcPr><w:p w14:paraId="492FE3EE" w14:textId="77777777" w:rsidR="006A54B3" w:rsidRDefault="00EC36B2"><w:r><w:t>Requirement</w:t></w:r></w:p></w:tc><w:tc><w:tcPr><w:tcW w:w="4920" w:type="dxa"/><w:shd w:val="clear" w:color="auto" w:fill="F2F2F2"/></w:tcPr><w:p w14:paraId="4D47F60E" w14:textId="77777777" w:rsidR="006A54B3" w:rsidRDefault="00EC36B2"><w:r><w:t>Status</w:t></w:r></w:p></w:tc></w:tr><w:tr w:rsidR="006A54B3" w14:paraId="54EBE97A" w14:textId="77777777"><w:tc><w:tcPr><w:tcW w:w="720" w:type="dxa"/></w:tcPr><w:p w14:paraId="0012C0FD" w14:textId="77777777" w:rsidR="006A54B3" w:rsidRDefault="00EC36B2"><w:r><w:t>1</w:t></w:r></w:p></w:tc><w:tc><w:tcPr><w:tcW w:w="3720" w:type="dxa"/></w:tcPr><w:p w14:paraId="6A825DE8" w14:textId="77777777" w:rsidR="006A54B3" w:rsidRDefault="00EC36B2"><w:r><w:t>Grouped or temporal evaluation</w:t></w:r></w:p></w:tc><w:tc><w:tcPr><w:tcW w:w="4920" w:type="dxa"/></w:tcPr><w:p w14:paraId="26598FBC" w14:textId="77777777" w:rsidR="006A54B3" w:rsidRDefault="00EC36B2"><w:r><w:t xml:space="preserve">Resolved by redesign (no shared/cluster labels remain); temporal 2013→2014 split </w:t></w:r><w:r><w:rPr><w:b/></w:rPr><w:t>not</w:t></w:r><w:r><w:t xml:space="preserve"> adopted — open, see 1.1 above</w:t></w:r></w:p></w:tc></w:tr><w:tr w:rsidR="006A54B3" w14:paraId="7AC7F526" w14:textId="77777777"><w:tc><w:tcPr><w:tcW w:w="720" w:type="dxa"/></w:tcPr><w:p w14:paraId="7968C06A" w14:textId="77777777" w:rsidR="006A54B3" w:rsidRDefault="00EC36B2"><w:r><w:t>2</w:t></w:r></w:p></w:tc><w:tc><w:tcPr><w:tcW w:w="3720" w:type="dxa"/></w:tcPr><w:p w14:paraId="42AA8D35" w14:textId="77777777" w:rsidR="006A54B3" w:rsidRDefault="00EC36B2"><w:r><w:t>Leakage diagnostics (training-mean, presentation-ID-only, metadata-only predictors)</w:t></w:r></w:p></w:tc><w:tc><w:tcPr><w:tcW w:w="4920" w:type="dxa"/></w:tcPr><w:p w14:paraId="23F7F6E8" w14:textId="77777777" w:rsidR="006A54B3" w:rsidRDefault="00EC36B2"><w:r><w:t>Not run — the new target construction does not depend on presentation identity, so we consider the specific risk addressed by design, but the diagnostic baselines themselves were not added</w:t></w:r></w:p></w:tc></w:tr><w:tr w:rsidR="006A54B3" w14:paraId="5541C994" w14:textId="77777777"><w:tc><w:tcPr><w:tcW w:w="720" w:type="dxa"/></w:tcPr><w:p w14:paraId="6414AEF6" w14:textId="77777777" w:rsidR="006A54B3" w:rsidRDefault="00EC36B2"><w:r><w:t>3</w:t></w:r></w:p></w:tc><w:tc><w:tcPr><w:tcW w:w="3720" w:type="dxa"/></w:tcPr><w:p w14:paraId="0888EC76" w14:textId="77777777" w:rsidR="006A54B3" w:rsidRDefault="00EC36B2"><w:r><w:t>Complete target/feature specification, date_unregistration, negative dates, banked scores</w:t></w:r></w:p></w:tc><w:tc><w:tcPr><w:tcW w:w="4920" w:type="dxa"/></w:tcPr><w:p w14:paraId="07E41D39" w14:textId="77777777" w:rsidR="006A54B3" w:rsidRDefault="00EC36B2"><w:r><w:t>Resolved (Sections 3.1–3.3)</w:t></w:r></w:p></w:tc></w:tr><w:tr w:rsidR="006A54B3" w14:paraId="6BA6C0E0" w14:textId="77777777"><w:tc><w:tcPr><w:tcW w:w="720" w:type="dxa"/></w:tcPr><w:p w14:paraId="57DF239B" w14:textId="77777777" w:rsidR="006A54B3" w:rsidRDefault="00EC36B2"><w:r><w:t>4</w:t></w:r></w:p></w:tc><w:tc><w:tcPr><w:tcW w:w="3720" w:type="dxa"/></w:tcPr><w:p w14:paraId="2665E047" w14:textId="77777777" w:rsidR="006A54B3" w:rsidRDefault="00EC36B2"><w:r><w:t>Construct resolution (validity or rename)</w:t></w:r></w:p></w:tc><w:tc><w:tcPr><w:tcW w:w="4920" w:type="dxa"/></w:tcPr><w:p w14:paraId="2D59DE02" w14:textId="77777777" w:rsidR="006A54B3" w:rsidRDefault="00EC36B2"><w:r><w:t>Resolved — renamed to a directly observable behavioural target; no construct-validity claim made or needed</w:t></w:r></w:p></w:tc></w:tr><w:tr w:rsidR="006A54B3" w14:paraId="64FC1E2A" w14:textId="77777777"><w:tc><w:tcPr><w:tcW w:w="720" w:type="dxa"/></w:tcPr><w:p w14:paraId="77423C85" w14:textId="77777777" w:rsidR="006A54B3" w:rsidRDefault="00EC36B2"><w:r><w:t>5</w:t></w:r></w:p></w:tc><w:tc><w:tcPr><w:tcW w:w="3720" w:type="dxa"/></w:tcPr><w:p w14:paraId="4318B0EE" w14:textId="77777777" w:rsidR="006A54B3" w:rsidRDefault="00EC36B2"><w:r><w:t>Split protocol and early-prediction curve</w:t></w:r></w:p></w:tc><w:tc><w:tcPr><w:tcW w:w="4920" w:type="dxa"/></w:tcPr><w:p w14:paraId="2548629E" w14:textId="77777777" w:rsidR="006A54B3" w:rsidRDefault="00EC36B2"><w:r><w:t>Split fully specified (resolved); truncation-at-week-k curve not added (open)</w:t></w:r></w:p></w:tc></w:tr><w:tr w:rsidR="006A54B3" w14:paraId="71E87E5E" w14:textId="77777777"><w:tc><w:tcPr><w:tcW w:w="720" w:type="dxa"/></w:tcPr><w:p w14:paraId="371E1823" w14:textId="77777777" w:rsidR="006A54B3" w:rsidRDefault="00EC36B2"><w:r><w:t>6</w:t></w:r></w:p></w:tc><w:tc><w:tcPr><w:tcW w:w="3720" w:type="dxa"/></w:tcPr><w:p w14:paraId="1890B941" w14:textId="77777777" w:rsidR="006A54B3" w:rsidRDefault="00EC36B2"><w:r><w:t>≥10 seeds; mean ± SD everywhere</w:t></w:r></w:p></w:tc><w:tc><w:tcPr><w:tcW w:w="4920" w:type="dxa"/></w:tcPr><w:p w14:paraId="031FB17B" w14:textId="77777777" w:rsidR="006A54B3" w:rsidRDefault="00EC36B2"><w:r><w:t>Resolved (Tables 9–10)</w:t></w:r></w:p></w:tc></w:tr><w:tr w:rsidR="006A54B3" w14:paraId="756F3261" w14:textId="77777777"><w:tc><w:tcPr><w:tcW w:w="720" w:type="dxa"/></w:tcPr><w:p w14:paraId="7F44CF50" w14:textId="77777777" w:rsidR="006A54B3" w:rsidRDefault="00EC36B2"><w:r><w:lastRenderedPageBreak/><w:t>7</w:t></w:r></w:p></w:tc><w:tc><w:tcPr><w:tcW w:w="3720" w:type="dxa"/></w:tcPr><w:p w14:paraId="0DD227E0" w14:textId="77777777" w:rsidR="006A54B3" w:rsidRDefault="00EC36B2"><w:r><w:t>Statistics: CIs, reconciliation, pairing unit, n, statistic, exact p, correction, effect size</w:t></w:r></w:p></w:tc><w:tc><w:tcPr><w:tcW w:w="4920" w:type="dxa"/></w:tcPr><w:p w14:paraId="525080EF" w14:textId="77777777" w:rsidR="006A54B3" w:rsidRDefault="00EC36B2"><w:r><w:t>Resolved (Table 11)</w:t></w:r></w:p></w:tc></w:tr><w:tr w:rsidR="006A54B3" w14:paraId="6D7D9A62" w14:textId="77777777"><w:tc><w:tcPr><w:tcW w:w="720" w:type="dxa"/></w:tcPr><w:p w14:paraId="45ECA01C" w14:textId="77777777" w:rsidR="006A54B3" w:rsidRDefault="00EC36B2"><w:r><w:t>8</w:t></w:r></w:p></w:tc><w:tc><w:tcPr><w:tcW w:w="3720" w:type="dxa"/></w:tcPr><w:p w14:paraId="21C7292A" w14:textId="77777777" w:rsidR="006A54B3" w:rsidRDefault="00EC36B2"><w:r><w:t>Appropriate baselines (GBM, RF, ridge), equal tuning budget</w:t></w:r></w:p></w:tc><w:tc><w:tcPr><w:tcW w:w="4920" w:type="dxa"/></w:tcPr><w:p w14:paraId="708305AC" w14:textId="77777777" w:rsidR="006A54B3" w:rsidRDefault="00EC36B2"><w:r><w:t>Resolved (Table 10)</w:t></w:r></w:p></w:tc></w:tr><w:tr w:rsidR="006A54B3" w14:paraId="3A15F8C3" w14:textId="77777777"><w:tc><w:tcPr><w:tcW w:w="720" w:type="dxa"/></w:tcPr><w:p w14:paraId="06988808" w14:textId="77777777" w:rsidR="006A54B3" w:rsidRDefault="00EC36B2"><w:r><w:t>9</w:t></w:r></w:p></w:tc><w:tc><w:tcPr><w:tcW w:w="3720" w:type="dxa"/></w:tcPr><w:p w14:paraId="24A75A13" w14:textId="77777777" w:rsidR="006A54B3" w:rsidRDefault="00EC36B2"><w:r><w:t>Architecture–experiment consistency (CBGF, AEML, consistency loss)</w:t></w:r></w:p></w:tc><w:tc><w:tcPr><w:tcW w:w="4920" w:type="dxa"/></w:tcPr><w:p w14:paraId="43374319" w14:textId="77777777" w:rsidR="006A54B3" w:rsidRDefault="00EC36B2"><w:r><w:t>Resolved — these components removed; ablations now match the implemented architecture exactly</w:t></w:r></w:p></w:tc></w:tr><w:tr w:rsidR="006A54B3" w14:paraId="016B47C9" w14:textId="77777777"><w:tc><w:tcPr><w:tcW w:w="720" w:type="dxa"/></w:tcPr><w:p w14:paraId="77F53325" w14:textId="77777777" w:rsidR="006A54B3" w:rsidRDefault="00EC36B2"><w:r><w:t>10</w:t></w:r></w:p></w:tc><w:tc><w:tcPr><w:tcW w:w="3720" w:type="dxa"/></w:tcPr><w:p w14:paraId="14B7F846" w14:textId="77777777" w:rsidR="006A54B3" w:rsidRDefault="00EC36B2"><w:r><w:t>Batch-composition controls</w:t></w:r></w:p></w:tc><w:tc><w:tcPr><w:tcW w:w="4920" w:type="dxa"/></w:tcPr><w:p w14:paraId="70BC4335" w14:textId="77777777" w:rsidR="006A54B3" w:rsidRDefault="00EC36B2"><w:r><w:t>Resolved — architecture has no cross-student computation; latency measured at batch size 1 and 4096</w:t></w:r></w:p></w:tc></w:tr><w:tr w:rsidR="006A54B3" w14:paraId="00DBD374" w14:textId="77777777"><w:tc><w:tcPr><w:tcW w:w="720" w:type="dxa"/></w:tcPr><w:p w14:paraId="0BADA37E" w14:textId="77777777" w:rsidR="006A54B3" w:rsidRDefault="00EC36B2"><w:r><w:t>11</w:t></w:r></w:p></w:tc><w:tc><w:tcPr><w:tcW w:w="3720" w:type="dxa"/></w:tcPr><w:p w14:paraId="1F65D877" w14:textId="77777777" w:rsidR="006A54B3" w:rsidRDefault="00EC36B2"><w:r><w:t>DOI-bearing reproducibility package</w:t></w:r></w:p></w:tc><w:tc><w:tcPr><w:tcW w:w="4920" w:type="dxa"/></w:tcPr><w:p w14:paraId="212E1B58" w14:textId="77777777" w:rsidR="006A54B3" w:rsidRDefault="00EC36B2"><w:r><w:t>Open — availability statement added; repository link pending</w:t></w:r></w:p></w:tc></w:tr></w:tbl><w:p w14:paraId="0C4BC81F" w14:textId="77777777" w:rsidR="006A54B3" w:rsidRDefault="006A54B3"><w:pPr><w:pBdr><w:bottom w:val="single" w:sz="6" w:space="1" w:color="auto"/></w:pBdr></w:pPr></w:p><w:p w14:paraId="52490738" w14:textId="77777777" w:rsidR="006A54B3" w:rsidRDefault="00EC36B2"><w:pPr><w:pStyle w:val="Heading2"/></w:pPr><w:r><w:t>Response to Reviewer 2</w:t></w:r></w:p><w:p w14:paraId="56A6D4A5" w14:textId="77777777" w:rsidR="006A54B3" w:rsidRDefault="00EC36B2"><w:r><w:rPr><w:b/></w:rPr><w:t xml:space="preserve">Comment 1 — Unit of prediction/evaluation; held-out-presentation split; distinct presentation counts.</w:t></w:r></w:p><w:p w14:paraId="5938ADF5" w14:textId="77777777" w:rsidR="006A54B3" w:rsidRDefault="00EC36B2"><w:r><w:rPr><w:b/></w:rPr><w:t>Response — Resolved by redesign; held-out-presentation split not adopted.</w:t></w:r><w:r><w:t xml:space="preserve"> As above, the new target is computed per enrollment-week, so a random split can no longer place identical labels in both train and test by construction. Table 2 reports exact student, enrollment and row counts per split. We did not evaluate on held-out module presentations specifically; this remains an open item (see Reviewer 1, 1.1).</w:t></w:r></w:p><w:p w14:paraId="6E767F0C" w14:textId="77777777" w:rsidR="006A54B3" w:rsidRDefault="00EC36B2"><w:r><w:rPr><w:b/></w:rPr><w:t>Comment 2 — Prospective, leakage-free prediction; specify prediction date, feature availability, remove outcome-derived inputs; recompute preprocessing per fold.</w:t></w:r></w:p><w:p w14:paraId="52F4D08A" w14:textId="77777777" w:rsidR="006A54B3" w:rsidRDefault="00EC36B2"><w:r><w:rPr><w:b/></w:rPr><w:t>Response — Resolved.</w:t></w:r><w:r><w:t xml:space="preserve"> Section 3.3 states explicitly that inputs stop at week t and the label is defined from week t+1; the next-week values themselves are excluded from the inputs. Section 3.2 confirms imputation medians, scaling statistics and peer-reference distributions are fit on the training partition only and applied unchanged to validation/test. We did not implement per-fold recomputation (the split is a single fixed 70/15/15 partition, not cross-validated), which we note as a simplification rather than a limitation specific to leakage, since training-only fitting already prevents test-set information from entering preprocessing.</w:t></w:r></w:p><w:p w14:paraId="14F12E9A" w14:textId="77777777" w:rsidR="006A54B3" w:rsidRDefault="00EC36B2"><w:r><w:rPr><w:b/></w:rPr><w:t>Comment 3 — Validate EEI/CSI constructs.</w:t></w:r></w:p><w:p w14:paraId="03959614" w14:textId="77777777" w:rsidR="006A54B3" w:rsidRDefault="00EC36B2"><w:r><w:rPr><w:b/></w:rPr><w:t>Response — Resolved by redesign.</w:t></w:r><w:r><w:t xml:space="preserve"> No longer applicable; EEI and CSI have been removed (see Editor Comment 1 and Reviewer 1, 1.3).</w:t></w:r></w:p><w:p w14:paraId="1CAB1F5C" w14:textId="77777777" w:rsidR="006A54B3" w:rsidRDefault="00EC36B2"><w:r><w:rPr><w:b/></w:rPr><w:t>Comment 4 — Resolve batch dependence of the Cross-Student Transformer.</w:t></w:r></w:p><w:p w14:paraId="6BDED8B2" w14:textId="77777777" w:rsidR="006A54B3" w:rsidRDefault="00EC36B2"><w:r><w:rPr><w:b/></w:rPr><w:lastRenderedPageBreak/><w:t>Response — Resolved.</w:t></w:r><w:r><w:t xml:space="preserve"> See Reviewer 1, 2.5 above; the Cross-Student Transformer has been removed, and batch-size-invariance is now structural, confirmed by the new inference-latency measurements (Section 4.6.2).</w:t></w:r></w:p><w:p w14:paraId="5F2C216B" w14:textId="77777777" w:rsidR="006A54B3" w:rsidRDefault="00EC36B2"><w:r><w:rPr><w:b/></w:rPr><w:t>Comment 5 — Reconcile described vs. implemented architecture (CBGF, AEML, consistency loss).</w:t></w:r></w:p><w:p w14:paraId="3B0AF058" w14:textId="77777777" w:rsidR="006A54B3" w:rsidRDefault="00EC36B2"><w:r><w:rPr><w:b/></w:rPr><w:t>Response — Resolved.</w:t></w:r><w:r><w:t xml:space="preserve"> These named components have been removed from the manuscript entirely; Section 3.4 describes only the components that are actually implemented and ablated (group tokens, Context-FiLM, temporal TCN, binary head, change-score regression head), each with its own equation.</w:t></w:r></w:p><w:p w14:paraId="2DB33E15" w14:textId="77777777" w:rsidR="006A54B3" w:rsidRDefault="00EC36B2"><w:r><w:rPr><w:b/></w:rPr><w:t>Comment 6 — Redesign baselines (GBM, RF, ridge); matched temporal/structural networks; document knowledge-tracing adaptation or replace; correct DAKTN MAE claim.</w:t></w:r></w:p><w:p w14:paraId="50616480" w14:textId="77777777" w:rsidR="006A54B3" w:rsidRDefault="00EC36B2"><w:r><w:rPr><w:b/></w:rPr><w:t>Response — Resolved.</w:t></w:r><w:r><w:t xml:space="preserve"> See Reviewer 1, 2.4 above. We replaced the knowledge-tracing comparators with XGBoost, LightGBM, Random Forest and L2-regularised logistic regression, matched on features, split, seeds and tuning budget (Table 10). We did not add single-branch (temporal-only / structural-only) ablations specifically, though the existing ablations (A3: without temporal TCN; A1/A2: without group tokens / Context-FiLM) partially cover this comparison.</w:t></w:r></w:p><w:p w14:paraId="4359572B" w14:textId="77777777" w:rsidR="006A54B3" w:rsidRDefault="00EC36B2"><w:r><w:rPr><w:b/></w:rPr><w:t>Comment 7 — Correct uncertainty and significance analysis.</w:t></w:r></w:p><w:p w14:paraId="5571F033" w14:textId="77777777" w:rsidR="006A54B3" w:rsidRDefault="00EC36B2"><w:r><w:rPr><w:b/></w:rPr><w:t>Response — Resolved.</w:t></w:r><w:r><w:t xml:space="preserve"> See Reviewer 1, 2.3 above and new Table 11 (Wilcoxon signed-rank, paired by seed, n = 10, Holm-Bonferroni correction across 36 comparisons, rank-biserial effect size).</w:t></w:r></w:p><w:p w14:paraId="0F18BDBB" w14:textId="77777777" w:rsidR="006A54B3" w:rsidRDefault="00EC36B2"><w:r><w:rPr><w:b/></w:rPr><w:t>Comment 8 — Report robustness, not best-seed selection; compare at presentation level.</w:t></w:r></w:p><w:p w14:paraId="4333634F" w14:textId="77777777" w:rsidR="006A54B3" w:rsidRDefault="00EC36B2"><w:r><w:rPr><w:b/></w:rPr><w:t>Response — Partially resolved.</w:t></w:r><w:r><w:t xml:space="preserve"> All results are now mean ± SD over ten prespecified seeds, with no seed selection on test performance (Tables 9–10). We did not additionally report presentation-level aggregated comparisons, since the new target no longer has a presentation-level interpretation to aggregate to.</w:t></w:r></w:p><w:p w14:paraId="2575A644" w14:textId="77777777" w:rsidR="006A54B3" w:rsidRDefault="00EC36B2"><w:r><w:rPr><w:b/></w:rPr><w:t>Comment 9 — Clarify novelty; ablations without cross-student attention/each loss; report parameter counts and costs.</w:t></w:r></w:p><w:p w14:paraId="2D784D01" w14:textId="77777777" w:rsidR="006A54B3" w:rsidRDefault="00EC36B2"><w:r><w:rPr><w:b/></w:rPr><w:t>Response — Partially resolved.</w:t></w:r><w:r><w:t xml:space="preserve"> Parameter count (238,575) and training/inference time (new Section 4.6.2, Table 12) are now reported. Cross-student attention has been removed from the architecture rather than ablated, since Reviewer 2's own Comment 4 raised it as a design flaw to resolve rather than retain. A full novelty contrast against the closest prior multi-task learning-analytics systems was not added in this revision.</w:t></w:r></w:p><w:p w14:paraId="7B2EF215" w14:textId="77777777" w:rsidR="006A54B3" w:rsidRDefault="00EC36B2"><w:r><w:rPr><w:b/></w:rPr><w:t>Comment 10 — Improve reproducibility: feature dictionary, missing-data rules, equations, notation, naming consistency.</w:t></w:r></w:p><w:p w14:paraId="28A2BB61" w14:textId="764E4392" w:rsidR="006A54B3" w:rsidRDefault="00EC36B2"><w:r><w:rPr><w:b/></w:rPr><w:t>Response — Resolved.</w:t></w:r><w:r><w:t xml:space="preserve"> Section 3.1–3.3 give the cleaning rules, exclusion criteria, and all feature groups in text; equations are complete and consistent (Eqs. 1–19); component naming is now consistent throughout (EBB-Net framework, group tokens, Context-FiLM, temporal TCN — no CAFE-Net/EBB-Net name mixing remains). A dedicated tabular feature dictionary (one row per feature with description and group) was not added as a standalone table; the feature groups are described in running text in Section 3.3.</w:t></w:r></w:p><w:sectPr w:rsidR="006A54B3"><w:pgSz w:w="12240" w:h="15840"/><w:pgMar w:top="1440" w:right="1440" w:bottom="1440" w:left="1440" w:header="720" w:footer="720" w:gutter="0"/><w:cols w:space="72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B355BC"/>
    <w:multiLevelType w:val="hybridMultilevel"/>
    <w:tmpl w:val="A8764D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1" w15:restartNumberingAfterBreak="0">
    <w:nsid w:val="74302834"/>
    <w:multiLevelType w:val="hybridMultilevel"/>
    <w:tmpl w:val="3050E3CC"/>
    <w:lvl w:ilvl="0" w:tplc="FFFFFFFF">
      <w:start w:val="1"/>
      <w:numFmt w:val="bullet"/>
      <w:lvlText w:val="•"/>
      <w:lvlJc w:val="left"/>
      <w:pPr>
        <w:ind w:left="720" w:hanging="360"/>
      </w:pPr>
    </w:lvl>
    <w:lvl w:ilvl="1" w:tplc="FFFFFFFF">
      <w:start w:val="1"/>
      <w:numFmt w:val="bullet"/>
      <w:lvlText w:val="o"/>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o"/>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o"/>
      <w:lvlJc w:val="left"/>
      <w:pPr>
        <w:ind w:left="5760" w:hanging="360"/>
      </w:pPr>
    </w:lvl>
    <w:lvl w:ilvl="8" w:tplc="FFFFFFFF">
      <w:start w:val="1"/>
      <w:numFmt w:val="bullet"/>
      <w:lvlText w:val="▪"/>
      <w:lvlJc w:val="left"/>
      <w:pPr>
        <w:ind w:left="6480" w:hanging="360"/>
      </w:p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A54B3"/>
    <w:rsid w:val="006A54B3"/>
    <w:rsid w:val="008059AF"/>
    <w:rsid w:val="008E0826"/>
    <w:rsid w:val="0093667C"/>
    <w:rsid w:val="00EC36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3B900"/>
  <w15:docId w15:val="{D136EAB1-A2AC-43F8-8462-B9D30D4A5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2591</Words>
  <Characters>14773</Characters>
  <Application>Microsoft Office Word</Application>
  <DocSecurity>0</DocSecurity>
  <Lines>123</Lines>
  <Paragraphs>34</Paragraphs>
  <ScaleCrop>false</ScaleCrop>
  <Company/>
  <LinksUpToDate>false</LinksUpToDate>
  <CharactersWithSpaces>17330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 Revised Manuscript (EBB-Net)</dc:title>
  <dc:description>Claude Docs node/52001cb8-21a6@1 docx-w7</dc:description>
  <cp:lastModifiedBy>HARI SIDDARTH</cp:lastModifiedBy>
  <cp:revision>5</cp:revision>
  <dcterms:created xsi:type="dcterms:W3CDTF">2026-10-28T05:09:00Z</dcterms:created>
  <dcterms:modified xsi:type="dcterms:W3CDTF">2026-10-28T06:38:00Z</dcterms:modified>
</cp:coreProperties>
</file>