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PsyAdapt - Reviewer Response Matrix</w:t>
      </w:r>
    </w:p>
    <w:p>
      <w:pPr>
        <w:jc w:val="both"/>
      </w:pPr>
      <w:r>
        <w:rPr>
          <w:rFonts w:ascii="Times New Roman" w:hAnsi="Times New Roman"/>
          <w:sz w:val="22"/>
        </w:rPr>
        <w:t>Manuscript: PsyAdapt: A Personalized LLM-Based Framework for Psychoeducational Dialogue Generation and Evaluation. Every comment in the critical review receives an explicit resolution below. Identifiers correspond to the order of the comments in the review document. Evidence is cited as the paper table or figure together with the result file in tables.zip, or as the notebook cell that implements the procedure. No result, statistic, participant or citation was invented: where evidence was unavailable the status says so.</w:t>
      </w:r>
    </w:p>
    <w:tbl>
      <w:tblPr>
        <w:tblStyle w:val="TableGrid"/>
        <w:tblW w:type="auto" w:w="0"/>
        <w:tblLayout w:type="fixed"/>
        <w:tblLook w:firstColumn="1" w:firstRow="1" w:lastColumn="0" w:lastRow="0" w:noHBand="0" w:noVBand="1" w:val="04A0"/>
      </w:tblPr>
      <w:tblGrid>
        <w:gridCol w:w="1749"/>
        <w:gridCol w:w="1749"/>
        <w:gridCol w:w="1749"/>
        <w:gridCol w:w="1749"/>
        <w:gridCol w:w="1749"/>
        <w:gridCol w:w="1749"/>
        <w:gridCol w:w="1749"/>
      </w:tblGrid>
      <w:tr>
        <w:tc>
          <w:tcPr>
            <w:tcW w:type="dxa" w:w="520"/>
          </w:tcPr>
          <w:p>
            <w:r/>
            <w:r>
              <w:rPr>
                <w:rFonts w:ascii="Times New Roman" w:hAnsi="Times New Roman"/>
                <w:b/>
                <w:sz w:val="16"/>
              </w:rPr>
              <w:t>ID</w:t>
            </w:r>
          </w:p>
        </w:tc>
        <w:tc>
          <w:tcPr>
            <w:tcW w:type="dxa" w:w="1000"/>
          </w:tcPr>
          <w:p>
            <w:r/>
            <w:r>
              <w:rPr>
                <w:rFonts w:ascii="Times New Roman" w:hAnsi="Times New Roman"/>
                <w:b/>
                <w:sz w:val="16"/>
              </w:rPr>
              <w:t>Category</w:t>
            </w:r>
          </w:p>
        </w:tc>
        <w:tc>
          <w:tcPr>
            <w:tcW w:type="dxa" w:w="3200"/>
          </w:tcPr>
          <w:p>
            <w:r/>
            <w:r>
              <w:rPr>
                <w:rFonts w:ascii="Times New Roman" w:hAnsi="Times New Roman"/>
                <w:b/>
                <w:sz w:val="16"/>
              </w:rPr>
              <w:t>Reviewer comment</w:t>
            </w:r>
          </w:p>
        </w:tc>
        <w:tc>
          <w:tcPr>
            <w:tcW w:type="dxa" w:w="4200"/>
          </w:tcPr>
          <w:p>
            <w:r/>
            <w:r>
              <w:rPr>
                <w:rFonts w:ascii="Times New Roman" w:hAnsi="Times New Roman"/>
                <w:b/>
                <w:sz w:val="16"/>
              </w:rPr>
              <w:t>Action taken</w:t>
            </w:r>
          </w:p>
        </w:tc>
        <w:tc>
          <w:tcPr>
            <w:tcW w:type="dxa" w:w="1500"/>
          </w:tcPr>
          <w:p>
            <w:r/>
            <w:r>
              <w:rPr>
                <w:rFonts w:ascii="Times New Roman" w:hAnsi="Times New Roman"/>
                <w:b/>
                <w:sz w:val="16"/>
              </w:rPr>
              <w:t>Updated section</w:t>
            </w:r>
          </w:p>
        </w:tc>
        <w:tc>
          <w:tcPr>
            <w:tcW w:type="dxa" w:w="1800"/>
          </w:tcPr>
          <w:p>
            <w:r/>
            <w:r>
              <w:rPr>
                <w:rFonts w:ascii="Times New Roman" w:hAnsi="Times New Roman"/>
                <w:b/>
                <w:sz w:val="16"/>
              </w:rPr>
              <w:t>Evidence</w:t>
            </w:r>
          </w:p>
        </w:tc>
        <w:tc>
          <w:tcPr>
            <w:tcW w:type="dxa" w:w="1700"/>
          </w:tcPr>
          <w:p>
            <w:r/>
            <w:r>
              <w:rPr>
                <w:rFonts w:ascii="Times New Roman" w:hAnsi="Times New Roman"/>
                <w:b/>
                <w:sz w:val="16"/>
              </w:rPr>
              <w:t>Status</w:t>
            </w:r>
          </w:p>
        </w:tc>
      </w:tr>
      <w:tr>
        <w:tc>
          <w:tcPr>
            <w:tcW w:type="dxa" w:w="520"/>
          </w:tcPr>
          <w:p>
            <w:r/>
            <w:r>
              <w:rPr>
                <w:rFonts w:ascii="Times New Roman" w:hAnsi="Times New Roman"/>
                <w:sz w:val="16"/>
              </w:rPr>
              <w:t>R02</w:t>
            </w:r>
          </w:p>
        </w:tc>
        <w:tc>
          <w:tcPr>
            <w:tcW w:type="dxa" w:w="1000"/>
          </w:tcPr>
          <w:p>
            <w:r/>
            <w:r>
              <w:rPr>
                <w:rFonts w:ascii="Times New Roman" w:hAnsi="Times New Roman"/>
                <w:sz w:val="16"/>
              </w:rPr>
              <w:t>Statistical</w:t>
            </w:r>
          </w:p>
        </w:tc>
        <w:tc>
          <w:tcPr>
            <w:tcW w:type="dxa" w:w="3200"/>
          </w:tcPr>
          <w:p>
            <w:r/>
            <w:r>
              <w:rPr>
                <w:rFonts w:ascii="Times New Roman" w:hAnsi="Times New Roman"/>
                <w:sz w:val="16"/>
              </w:rPr>
              <w:t>The full system beats A2 by 0.001 on BERTScore and grounding on 300 samples from a single run, with no confidence intervals or significance tests; A4/A5 sit within 0.002 of A7; the repeated claim that A7 'performs better' is unsupported. Bootstrap CIs and a paired test are required and all claims must be rewritten to match.</w:t>
            </w:r>
          </w:p>
        </w:tc>
        <w:tc>
          <w:tcPr>
            <w:tcW w:type="dxa" w:w="4200"/>
          </w:tcPr>
          <w:p>
            <w:r/>
            <w:r>
              <w:rPr>
                <w:rFonts w:ascii="Times New Roman" w:hAnsi="Times New Roman"/>
                <w:sz w:val="16"/>
              </w:rPr>
              <w:t>Added a paired analysis over the 300 items (Wilcoxon signed-rank, 5,000-resample bootstrap CIs, Cohen's d_z, Holm correction) and rewrote every comparative claim. A7 vs A2 (+0.005, CI [0.000, 0.010], Holm p = 0.287) and A7 vs A5 are now reported as numerically higher but not statistically significant; the abstract, 4.4, 4.5, 4.8 and the conclusion state that retrieval plus profiling accounts for most of the gain and that emotion/strategy mainly reduce defects.</w:t>
            </w:r>
          </w:p>
        </w:tc>
        <w:tc>
          <w:tcPr>
            <w:tcW w:type="dxa" w:w="1500"/>
          </w:tcPr>
          <w:p>
            <w:r/>
            <w:r>
              <w:rPr>
                <w:rFonts w:ascii="Times New Roman" w:hAnsi="Times New Roman"/>
                <w:sz w:val="16"/>
              </w:rPr>
              <w:t>Abstract; 4.1; 4.4; 4.5; 4.8; new 4.10; 5</w:t>
            </w:r>
          </w:p>
        </w:tc>
        <w:tc>
          <w:tcPr>
            <w:tcW w:type="dxa" w:w="1800"/>
          </w:tcPr>
          <w:p>
            <w:r/>
            <w:r>
              <w:rPr>
                <w:rFonts w:ascii="Times New Roman" w:hAnsi="Times New Roman"/>
                <w:sz w:val="16"/>
              </w:rPr>
              <w:t>Table 12, Figure 9 / statistical_contrasts_bertscore.csv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R03</w:t>
            </w:r>
          </w:p>
        </w:tc>
        <w:tc>
          <w:tcPr>
            <w:tcW w:type="dxa" w:w="1000"/>
          </w:tcPr>
          <w:p>
            <w:r/>
            <w:r>
              <w:rPr>
                <w:rFonts w:ascii="Times New Roman" w:hAnsi="Times New Roman"/>
                <w:sz w:val="16"/>
              </w:rPr>
              <w:t>Table / Unsupported claim</w:t>
            </w:r>
          </w:p>
        </w:tc>
        <w:tc>
          <w:tcPr>
            <w:tcW w:type="dxa" w:w="3200"/>
          </w:tcPr>
          <w:p>
            <w:r/>
            <w:r>
              <w:rPr>
                <w:rFonts w:ascii="Times New Roman" w:hAnsi="Times New Roman"/>
                <w:sz w:val="16"/>
              </w:rPr>
              <w:t>Table 9 values for Gemma, Llama and Mistral are all round numbers rising in the same strict order on every metric while PsyAdapt carries measured three-decimal values; the table looks constructed.</w:t>
            </w:r>
          </w:p>
        </w:tc>
        <w:tc>
          <w:tcPr>
            <w:tcW w:type="dxa" w:w="4200"/>
          </w:tcPr>
          <w:p>
            <w:r/>
            <w:r>
              <w:rPr>
                <w:rFonts w:ascii="Times New Roman" w:hAnsi="Times New Roman"/>
                <w:sz w:val="16"/>
              </w:rPr>
              <w:t>The previous Table 9 was withdrawn and replaced with measured generator-swap results carrying bootstrap confidence intervals. The text states why the old table was withdrawn. Because the intervals of all full-context arms overlap, no ordering among generators is claimed.</w:t>
            </w:r>
          </w:p>
        </w:tc>
        <w:tc>
          <w:tcPr>
            <w:tcW w:type="dxa" w:w="1500"/>
          </w:tcPr>
          <w:p>
            <w:r/>
            <w:r>
              <w:rPr>
                <w:rFonts w:ascii="Times New Roman" w:hAnsi="Times New Roman"/>
                <w:sz w:val="16"/>
              </w:rPr>
              <w:t>4.7; Table 9; new Figure 8</w:t>
            </w:r>
          </w:p>
        </w:tc>
        <w:tc>
          <w:tcPr>
            <w:tcW w:type="dxa" w:w="1800"/>
          </w:tcPr>
          <w:p>
            <w:r/>
            <w:r>
              <w:rPr>
                <w:rFonts w:ascii="Times New Roman" w:hAnsi="Times New Roman"/>
                <w:sz w:val="16"/>
              </w:rPr>
              <w:t>Table 9, Figure 8 / sota_designA.csv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R04</w:t>
            </w:r>
          </w:p>
        </w:tc>
        <w:tc>
          <w:tcPr>
            <w:tcW w:type="dxa" w:w="1000"/>
          </w:tcPr>
          <w:p>
            <w:r/>
            <w:r>
              <w:rPr>
                <w:rFonts w:ascii="Times New Roman" w:hAnsi="Times New Roman"/>
                <w:sz w:val="16"/>
              </w:rPr>
              <w:t>Experimental / Consistency</w:t>
            </w:r>
          </w:p>
        </w:tc>
        <w:tc>
          <w:tcPr>
            <w:tcW w:type="dxa" w:w="3200"/>
          </w:tcPr>
          <w:p>
            <w:r/>
            <w:r>
              <w:rPr>
                <w:rFonts w:ascii="Times New Roman" w:hAnsi="Times New Roman"/>
                <w:sz w:val="16"/>
              </w:rPr>
              <w:t>A0 has grounding support 'N/A' in Table 8 because it performs no retrieval, yet the three bare comparison LLMs in Table 9 each received a grounding score; grounding is defined only against retrieved passages.</w:t>
            </w:r>
          </w:p>
        </w:tc>
        <w:tc>
          <w:tcPr>
            <w:tcW w:type="dxa" w:w="4200"/>
          </w:tcPr>
          <w:p>
            <w:r/>
            <w:r>
              <w:rPr>
                <w:rFonts w:ascii="Times New Roman" w:hAnsi="Times New Roman"/>
                <w:sz w:val="16"/>
              </w:rPr>
              <w:t>Grounding is now computed only for arms that actually retrieved passages. All bare arms in Table 9 and A0 in Table 8 show '- (no retrieval)', and the metric definition in 4.2 states that grounding is undefined without retrieval and that such cells are left blank rather than filled.</w:t>
            </w:r>
          </w:p>
        </w:tc>
        <w:tc>
          <w:tcPr>
            <w:tcW w:type="dxa" w:w="1500"/>
          </w:tcPr>
          <w:p>
            <w:r/>
            <w:r>
              <w:rPr>
                <w:rFonts w:ascii="Times New Roman" w:hAnsi="Times New Roman"/>
                <w:sz w:val="16"/>
              </w:rPr>
              <w:t>4.2 (Grounding Support); Table 8; Table 9</w:t>
            </w:r>
          </w:p>
        </w:tc>
        <w:tc>
          <w:tcPr>
            <w:tcW w:type="dxa" w:w="1800"/>
          </w:tcPr>
          <w:p>
            <w:r/>
            <w:r>
              <w:rPr>
                <w:rFonts w:ascii="Times New Roman" w:hAnsi="Times New Roman"/>
                <w:sz w:val="16"/>
              </w:rPr>
              <w:t>Table 8, Table 9 / sota_designA.csv, baseline_comparison.csv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R05</w:t>
            </w:r>
          </w:p>
        </w:tc>
        <w:tc>
          <w:tcPr>
            <w:tcW w:type="dxa" w:w="1000"/>
          </w:tcPr>
          <w:p>
            <w:r/>
            <w:r>
              <w:rPr>
                <w:rFonts w:ascii="Times New Roman" w:hAnsi="Times New Roman"/>
                <w:sz w:val="16"/>
              </w:rPr>
              <w:t>Experimental</w:t>
            </w:r>
          </w:p>
        </w:tc>
        <w:tc>
          <w:tcPr>
            <w:tcW w:type="dxa" w:w="3200"/>
          </w:tcPr>
          <w:p>
            <w:r/>
            <w:r>
              <w:rPr>
                <w:rFonts w:ascii="Times New Roman" w:hAnsi="Times New Roman"/>
                <w:sz w:val="16"/>
              </w:rPr>
              <w:t>The comparison is confounded: Qwen2.5-3B inside the framework is compared against different base models outside it. The fair test is the framework with each base model swapped in, or each bare model against bare Qwen.</w:t>
            </w:r>
          </w:p>
        </w:tc>
        <w:tc>
          <w:tcPr>
            <w:tcW w:type="dxa" w:w="4200"/>
          </w:tcPr>
          <w:p>
            <w:r/>
            <w:r>
              <w:rPr>
                <w:rFonts w:ascii="Times New Roman" w:hAnsi="Times New Roman"/>
                <w:sz w:val="16"/>
              </w:rPr>
              <w:t>Both fair tests are now run. Each model is evaluated inside the identical pipeline (same 300 items, prompts, retrieval cache, decoding settings and metrics) in a bare arm and a full-context arm, and bare Qwen (A0) is included as the bare-vs-bare reference.</w:t>
            </w:r>
          </w:p>
        </w:tc>
        <w:tc>
          <w:tcPr>
            <w:tcW w:type="dxa" w:w="1500"/>
          </w:tcPr>
          <w:p>
            <w:r/>
            <w:r>
              <w:rPr>
                <w:rFonts w:ascii="Times New Roman" w:hAnsi="Times New Roman"/>
                <w:sz w:val="16"/>
              </w:rPr>
              <w:t>4.7; Table 9</w:t>
            </w:r>
          </w:p>
        </w:tc>
        <w:tc>
          <w:tcPr>
            <w:tcW w:type="dxa" w:w="1800"/>
          </w:tcPr>
          <w:p>
            <w:r/>
            <w:r>
              <w:rPr>
                <w:rFonts w:ascii="Times New Roman" w:hAnsi="Times New Roman"/>
                <w:sz w:val="16"/>
              </w:rPr>
              <w:t>Table 9 / sota_designA.csv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R07</w:t>
            </w:r>
          </w:p>
        </w:tc>
        <w:tc>
          <w:tcPr>
            <w:tcW w:type="dxa" w:w="1000"/>
          </w:tcPr>
          <w:p>
            <w:r/>
            <w:r>
              <w:rPr>
                <w:rFonts w:ascii="Times New Roman" w:hAnsi="Times New Roman"/>
                <w:sz w:val="16"/>
              </w:rPr>
              <w:t>Safety / Ethics / Evaluation</w:t>
            </w:r>
          </w:p>
        </w:tc>
        <w:tc>
          <w:tcPr>
            <w:tcW w:type="dxa" w:w="3200"/>
          </w:tcPr>
          <w:p>
            <w:r/>
            <w:r>
              <w:rPr>
                <w:rFonts w:ascii="Times New Roman" w:hAnsi="Times New Roman"/>
                <w:sz w:val="16"/>
              </w:rPr>
              <w:t>A mental-health support system is evaluated only with BERTScore, ROUGE and embedding cosine similarity; a blinded human rating on a subset (empathy, helpfulness, safety) is required, ideally with clinical training, together with an ethics statement and a description of how crisis content is detected and handled, since 'safety and quality verification' is never described beyond one paragraph.</w:t>
            </w:r>
          </w:p>
        </w:tc>
        <w:tc>
          <w:tcPr>
            <w:tcW w:type="dxa" w:w="4200"/>
          </w:tcPr>
          <w:p>
            <w:r/>
            <w:r>
              <w:rPr>
                <w:rFonts w:ascii="Times New Roman" w:hAnsi="Times New Roman"/>
                <w:sz w:val="16"/>
              </w:rPr>
              <w:t>Three separate additions. (i) The implemented safety mechanisms are now specified: the pre-generation keyword screen with its three review categories, the safety system prompt, and the post-generation response screen including the missing-crisis-referral check. (ii) A new subsection states the ethical position, data provenance, intended use and risks. (iii) The blinded pairwise human-evaluation protocol is described and its status is reported honestly: no annotations exist, so no human results are reported or claimed, and the gap is listed as a limitation. The distinction between technical screening and clinical safety validation is stated in 3.9.2, 3.10, 4.13 and the conclusion.</w:t>
            </w:r>
          </w:p>
        </w:tc>
        <w:tc>
          <w:tcPr>
            <w:tcW w:type="dxa" w:w="1500"/>
          </w:tcPr>
          <w:p>
            <w:r/>
            <w:r>
              <w:rPr>
                <w:rFonts w:ascii="Times New Roman" w:hAnsi="Times New Roman"/>
                <w:sz w:val="16"/>
              </w:rPr>
              <w:t>3.9.2; new 3.10; new 4.13; new 4.14; new 4.16; 5</w:t>
            </w:r>
          </w:p>
        </w:tc>
        <w:tc>
          <w:tcPr>
            <w:tcW w:type="dxa" w:w="1800"/>
          </w:tcPr>
          <w:p>
            <w:r/>
            <w:r>
              <w:rPr>
                <w:rFonts w:ascii="Times New Roman" w:hAnsi="Times New Roman"/>
                <w:sz w:val="16"/>
              </w:rPr>
              <w:t>defect_composition_A7.csv; notebook safety screen, judge and human-eval cells</w:t>
            </w:r>
          </w:p>
        </w:tc>
        <w:tc>
          <w:tcPr>
            <w:tcW w:type="dxa" w:w="1700"/>
          </w:tcPr>
          <w:p>
            <w:r/>
            <w:r>
              <w:rPr>
                <w:rFonts w:ascii="Times New Roman" w:hAnsi="Times New Roman"/>
                <w:sz w:val="16"/>
              </w:rPr>
              <w:t>PARTIALLY RESOLVED - human/clinical evaluation still outstanding</w:t>
            </w:r>
          </w:p>
        </w:tc>
      </w:tr>
      <w:tr>
        <w:tc>
          <w:tcPr>
            <w:tcW w:type="dxa" w:w="520"/>
          </w:tcPr>
          <w:p>
            <w:r/>
            <w:r>
              <w:rPr>
                <w:rFonts w:ascii="Times New Roman" w:hAnsi="Times New Roman"/>
                <w:sz w:val="16"/>
              </w:rPr>
              <w:t>R09</w:t>
            </w:r>
          </w:p>
        </w:tc>
        <w:tc>
          <w:tcPr>
            <w:tcW w:type="dxa" w:w="1000"/>
          </w:tcPr>
          <w:p>
            <w:r/>
            <w:r>
              <w:rPr>
                <w:rFonts w:ascii="Times New Roman" w:hAnsi="Times New Roman"/>
                <w:sz w:val="16"/>
              </w:rPr>
              <w:t>Evaluation / Methodological</w:t>
            </w:r>
          </w:p>
        </w:tc>
        <w:tc>
          <w:tcPr>
            <w:tcW w:type="dxa" w:w="3200"/>
          </w:tcPr>
          <w:p>
            <w:r/>
            <w:r>
              <w:rPr>
                <w:rFonts w:ascii="Times New Roman" w:hAnsi="Times New Roman"/>
                <w:sz w:val="16"/>
              </w:rPr>
              <w:t>No accuracy, F1 or confusion matrix is reported for the emotion, personality or strategy classifiers.</w:t>
            </w:r>
          </w:p>
        </w:tc>
        <w:tc>
          <w:tcPr>
            <w:tcW w:type="dxa" w:w="4200"/>
          </w:tcPr>
          <w:p>
            <w:r/>
            <w:r>
              <w:rPr>
                <w:rFonts w:ascii="Times New Roman" w:hAnsi="Times New Roman"/>
                <w:sz w:val="16"/>
              </w:rPr>
              <w:t>A new subsection reports accuracy, macro-F1, weighted-F1 and macro ROC-AUC for all three components on their held-out test splits, together with the label-leaking legacy strategy model as an explicit diagnostic. The text notes that the per-response predictions from which confusion matrices are derived are exported by the pipeline; the matrices themselves are not reproduced in the paper.</w:t>
            </w:r>
          </w:p>
        </w:tc>
        <w:tc>
          <w:tcPr>
            <w:tcW w:type="dxa" w:w="1500"/>
          </w:tcPr>
          <w:p>
            <w:r/>
            <w:r>
              <w:rPr>
                <w:rFonts w:ascii="Times New Roman" w:hAnsi="Times New Roman"/>
                <w:sz w:val="16"/>
              </w:rPr>
              <w:t>new 4.9; Table 11; 3.2.3; 3.3; 3.7; Table 3; Table 6</w:t>
            </w:r>
          </w:p>
        </w:tc>
        <w:tc>
          <w:tcPr>
            <w:tcW w:type="dxa" w:w="1800"/>
          </w:tcPr>
          <w:p>
            <w:r/>
            <w:r>
              <w:rPr>
                <w:rFonts w:ascii="Times New Roman" w:hAnsi="Times New Roman"/>
                <w:sz w:val="16"/>
              </w:rPr>
              <w:t>Table 11 / component_classifiers.csv</w:t>
            </w:r>
          </w:p>
        </w:tc>
        <w:tc>
          <w:tcPr>
            <w:tcW w:type="dxa" w:w="1700"/>
          </w:tcPr>
          <w:p>
            <w:r/>
            <w:r>
              <w:rPr>
                <w:rFonts w:ascii="Times New Roman" w:hAnsi="Times New Roman"/>
                <w:sz w:val="16"/>
              </w:rPr>
              <w:t>PARTIALLY RESOLVED - confusion matrices not printed in the paper</w:t>
            </w:r>
          </w:p>
        </w:tc>
      </w:tr>
      <w:tr>
        <w:tc>
          <w:tcPr>
            <w:tcW w:type="dxa" w:w="520"/>
          </w:tcPr>
          <w:p>
            <w:r/>
            <w:r>
              <w:rPr>
                <w:rFonts w:ascii="Times New Roman" w:hAnsi="Times New Roman"/>
                <w:sz w:val="16"/>
              </w:rPr>
              <w:t>R10</w:t>
            </w:r>
          </w:p>
        </w:tc>
        <w:tc>
          <w:tcPr>
            <w:tcW w:type="dxa" w:w="1000"/>
          </w:tcPr>
          <w:p>
            <w:r/>
            <w:r>
              <w:rPr>
                <w:rFonts w:ascii="Times New Roman" w:hAnsi="Times New Roman"/>
                <w:sz w:val="16"/>
              </w:rPr>
              <w:t>Dataset / Citation</w:t>
            </w:r>
          </w:p>
        </w:tc>
        <w:tc>
          <w:tcPr>
            <w:tcW w:type="dxa" w:w="3200"/>
          </w:tcPr>
          <w:p>
            <w:r/>
            <w:r>
              <w:rPr>
                <w:rFonts w:ascii="Times New Roman" w:hAnsi="Times New Roman"/>
                <w:sz w:val="16"/>
              </w:rPr>
              <w:t>Inferring Big Five traits from a single user turn with an SVM is not credible without validation numbers, and the OCEAN-Chat 'source' link is a Hugging Face search URL, not a dataset.</w:t>
            </w:r>
          </w:p>
        </w:tc>
        <w:tc>
          <w:tcPr>
            <w:tcW w:type="dxa" w:w="4200"/>
          </w:tcPr>
          <w:p>
            <w:r/>
            <w:r>
              <w:rPr>
                <w:rFonts w:ascii="Times New Roman" w:hAnsi="Times New Roman"/>
                <w:sz w:val="16"/>
              </w:rPr>
              <w:t>The validation numbers are now reported (0.52 accuracy, 0.44 macro-F1 for the primary trait) and the signal is explicitly described as weak, threshold-gated, hedged in the prompt and never shown to the user. The search URL was removed; because a correct identifier cannot be invented, the source line is marked UNVERIFIED and flagged for author action.</w:t>
            </w:r>
          </w:p>
        </w:tc>
        <w:tc>
          <w:tcPr>
            <w:tcW w:type="dxa" w:w="1500"/>
          </w:tcPr>
          <w:p>
            <w:r/>
            <w:r>
              <w:rPr>
                <w:rFonts w:ascii="Times New Roman" w:hAnsi="Times New Roman"/>
                <w:sz w:val="16"/>
              </w:rPr>
              <w:t>3.2.3; new 4.9; new 4.16</w:t>
            </w:r>
          </w:p>
        </w:tc>
        <w:tc>
          <w:tcPr>
            <w:tcW w:type="dxa" w:w="1800"/>
          </w:tcPr>
          <w:p>
            <w:r/>
            <w:r>
              <w:rPr>
                <w:rFonts w:ascii="Times New Roman" w:hAnsi="Times New Roman"/>
                <w:sz w:val="16"/>
              </w:rPr>
              <w:t>Table 11 / component_classifiers.csv</w:t>
            </w:r>
          </w:p>
        </w:tc>
        <w:tc>
          <w:tcPr>
            <w:tcW w:type="dxa" w:w="1700"/>
          </w:tcPr>
          <w:p>
            <w:r/>
            <w:r>
              <w:rPr>
                <w:rFonts w:ascii="Times New Roman" w:hAnsi="Times New Roman"/>
                <w:sz w:val="16"/>
              </w:rPr>
              <w:t>PARTIALLY RESOLVED - dataset citation REQUIRES HUMAN ACTION</w:t>
            </w:r>
          </w:p>
        </w:tc>
      </w:tr>
      <w:tr>
        <w:tc>
          <w:tcPr>
            <w:tcW w:type="dxa" w:w="520"/>
          </w:tcPr>
          <w:p>
            <w:r/>
            <w:r>
              <w:rPr>
                <w:rFonts w:ascii="Times New Roman" w:hAnsi="Times New Roman"/>
                <w:sz w:val="16"/>
              </w:rPr>
              <w:t>R11</w:t>
            </w:r>
          </w:p>
        </w:tc>
        <w:tc>
          <w:tcPr>
            <w:tcW w:type="dxa" w:w="1000"/>
          </w:tcPr>
          <w:p>
            <w:r/>
            <w:r>
              <w:rPr>
                <w:rFonts w:ascii="Times New Roman" w:hAnsi="Times New Roman"/>
                <w:sz w:val="16"/>
              </w:rPr>
              <w:t>Methodological</w:t>
            </w:r>
          </w:p>
        </w:tc>
        <w:tc>
          <w:tcPr>
            <w:tcW w:type="dxa" w:w="3200"/>
          </w:tcPr>
          <w:p>
            <w:r/>
            <w:r>
              <w:rPr>
                <w:rFonts w:ascii="Times New Roman" w:hAnsi="Times New Roman"/>
                <w:sz w:val="16"/>
              </w:rPr>
              <w:t>Need/context detection: no model, no training data, no output format.</w:t>
            </w:r>
          </w:p>
        </w:tc>
        <w:tc>
          <w:tcPr>
            <w:tcW w:type="dxa" w:w="4200"/>
          </w:tcPr>
          <w:p>
            <w:r/>
            <w:r>
              <w:rPr>
                <w:rFonts w:ascii="Times New Roman" w:hAnsi="Times New Roman"/>
                <w:sz w:val="16"/>
              </w:rPr>
              <w:t>The module is now specified as a deterministic rule-based component with no learned parameters: it scores the normalized message against keyword lexicons and returns primary topic, current need, urgency level, estimated knowledge level and response preferences, with a documented default when no lexicon entry matches. The text states that it has not been validated against labelled annotations.</w:t>
            </w:r>
          </w:p>
        </w:tc>
        <w:tc>
          <w:tcPr>
            <w:tcW w:type="dxa" w:w="1500"/>
          </w:tcPr>
          <w:p>
            <w:r/>
            <w:r>
              <w:rPr>
                <w:rFonts w:ascii="Times New Roman" w:hAnsi="Times New Roman"/>
                <w:sz w:val="16"/>
              </w:rPr>
              <w:t>3.6.3; Algorithm 1; new 4.16</w:t>
            </w:r>
          </w:p>
        </w:tc>
        <w:tc>
          <w:tcPr>
            <w:tcW w:type="dxa" w:w="1800"/>
          </w:tcPr>
          <w:p>
            <w:r/>
            <w:r>
              <w:rPr>
                <w:rFonts w:ascii="Times New Roman" w:hAnsi="Times New Roman"/>
                <w:sz w:val="16"/>
              </w:rPr>
              <w:t>Notebook rule-based context/need/urgency definitions</w:t>
            </w:r>
          </w:p>
        </w:tc>
        <w:tc>
          <w:tcPr>
            <w:tcW w:type="dxa" w:w="1700"/>
          </w:tcPr>
          <w:p>
            <w:r/>
            <w:r>
              <w:rPr>
                <w:rFonts w:ascii="Times New Roman" w:hAnsi="Times New Roman"/>
                <w:sz w:val="16"/>
              </w:rPr>
              <w:t>PARTIALLY RESOLVED - module specified but still unvalidated</w:t>
            </w:r>
          </w:p>
        </w:tc>
      </w:tr>
      <w:tr>
        <w:tc>
          <w:tcPr>
            <w:tcW w:type="dxa" w:w="520"/>
          </w:tcPr>
          <w:p>
            <w:r/>
            <w:r>
              <w:rPr>
                <w:rFonts w:ascii="Times New Roman" w:hAnsi="Times New Roman"/>
                <w:sz w:val="16"/>
              </w:rPr>
              <w:t>R12</w:t>
            </w:r>
          </w:p>
        </w:tc>
        <w:tc>
          <w:tcPr>
            <w:tcW w:type="dxa" w:w="1000"/>
          </w:tcPr>
          <w:p>
            <w:r/>
            <w:r>
              <w:rPr>
                <w:rFonts w:ascii="Times New Roman" w:hAnsi="Times New Roman"/>
                <w:sz w:val="16"/>
              </w:rPr>
              <w:t>Evaluation</w:t>
            </w:r>
          </w:p>
        </w:tc>
        <w:tc>
          <w:tcPr>
            <w:tcW w:type="dxa" w:w="3200"/>
          </w:tcPr>
          <w:p>
            <w:r/>
            <w:r>
              <w:rPr>
                <w:rFonts w:ascii="Times New Roman" w:hAnsi="Times New Roman"/>
                <w:sz w:val="16"/>
              </w:rPr>
              <w:t>'Defects per response' is a core metric but what counts as a defect and how it is detected is never stated.</w:t>
            </w:r>
          </w:p>
        </w:tc>
        <w:tc>
          <w:tcPr>
            <w:tcW w:type="dxa" w:w="4200"/>
          </w:tcPr>
          <w:p>
            <w:r/>
            <w:r>
              <w:rPr>
                <w:rFonts w:ascii="Times New Roman" w:hAnsi="Times New Roman"/>
                <w:sz w:val="16"/>
              </w:rPr>
              <w:t>The metric definition now describes both implemented procedures: the rule-based screen with its six pattern categories including missing crisis referral, and the structured annotation protocol run with a separate larger instruction-tuned model that must quote the offending text, restricted to six defect categories. A new subsection reports the defect composition for the full configuration and states that the counts are automated and are not a clinical safety measure.</w:t>
            </w:r>
          </w:p>
        </w:tc>
        <w:tc>
          <w:tcPr>
            <w:tcW w:type="dxa" w:w="1500"/>
          </w:tcPr>
          <w:p>
            <w:r/>
            <w:r>
              <w:rPr>
                <w:rFonts w:ascii="Times New Roman" w:hAnsi="Times New Roman"/>
                <w:sz w:val="16"/>
              </w:rPr>
              <w:t>4.2 (Response Defects); new 4.13; Table 16</w:t>
            </w:r>
          </w:p>
        </w:tc>
        <w:tc>
          <w:tcPr>
            <w:tcW w:type="dxa" w:w="1800"/>
          </w:tcPr>
          <w:p>
            <w:r/>
            <w:r>
              <w:rPr>
                <w:rFonts w:ascii="Times New Roman" w:hAnsi="Times New Roman"/>
                <w:sz w:val="16"/>
              </w:rPr>
              <w:t>Table 16 / defect_composition_A7.csv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R13</w:t>
            </w:r>
          </w:p>
        </w:tc>
        <w:tc>
          <w:tcPr>
            <w:tcW w:type="dxa" w:w="1000"/>
          </w:tcPr>
          <w:p>
            <w:r/>
            <w:r>
              <w:rPr>
                <w:rFonts w:ascii="Times New Roman" w:hAnsi="Times New Roman"/>
                <w:sz w:val="16"/>
              </w:rPr>
              <w:t>Experimental</w:t>
            </w:r>
          </w:p>
        </w:tc>
        <w:tc>
          <w:tcPr>
            <w:tcW w:type="dxa" w:w="3200"/>
          </w:tcPr>
          <w:p>
            <w:r/>
            <w:r>
              <w:rPr>
                <w:rFonts w:ascii="Times New Roman" w:hAnsi="Times New Roman"/>
                <w:sz w:val="16"/>
              </w:rPr>
              <w:t>Memory is a named component and an ablation row, but the benchmark is single-turn so it cannot do anything. Remove it from the framework and the ablation, or evaluate on multi-turn data.</w:t>
            </w:r>
          </w:p>
        </w:tc>
        <w:tc>
          <w:tcPr>
            <w:tcW w:type="dxa" w:w="4200"/>
          </w:tcPr>
          <w:p>
            <w:r/>
            <w:r>
              <w:rPr>
                <w:rFonts w:ascii="Times New Roman" w:hAnsi="Times New Roman"/>
                <w:sz w:val="16"/>
              </w:rPr>
              <w:t>Memory is retained but evaluated on multi-turn data. A new subsection reports a paired experiment on 40 ESConv test conversations in which the reply to the fourth user turn is generated with and without memory of the first three turns (0.618 vs 0.584 BERTScore-F1, +0.034, CI [0.001, 0.066], p = 0.048, d_z = 0.34), described as preliminary. The single-turn row is relabelled a control and the text states it carries no information about memory.</w:t>
            </w:r>
          </w:p>
        </w:tc>
        <w:tc>
          <w:tcPr>
            <w:tcW w:type="dxa" w:w="1500"/>
          </w:tcPr>
          <w:p>
            <w:r/>
            <w:r>
              <w:rPr>
                <w:rFonts w:ascii="Times New Roman" w:hAnsi="Times New Roman"/>
                <w:sz w:val="16"/>
              </w:rPr>
              <w:t>3.4; Table 6; Table 10 (A5 relabelled); 4.8; new 4.11; Table 13; 5</w:t>
            </w:r>
          </w:p>
        </w:tc>
        <w:tc>
          <w:tcPr>
            <w:tcW w:type="dxa" w:w="1800"/>
          </w:tcPr>
          <w:p>
            <w:r/>
            <w:r>
              <w:rPr>
                <w:rFonts w:ascii="Times New Roman" w:hAnsi="Times New Roman"/>
                <w:sz w:val="16"/>
              </w:rPr>
              <w:t>Table 13 / memory_experiment.csv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R14</w:t>
            </w:r>
          </w:p>
        </w:tc>
        <w:tc>
          <w:tcPr>
            <w:tcW w:type="dxa" w:w="1000"/>
          </w:tcPr>
          <w:p>
            <w:r/>
            <w:r>
              <w:rPr>
                <w:rFonts w:ascii="Times New Roman" w:hAnsi="Times New Roman"/>
                <w:sz w:val="16"/>
              </w:rPr>
              <w:t>Dataset</w:t>
            </w:r>
          </w:p>
        </w:tc>
        <w:tc>
          <w:tcPr>
            <w:tcW w:type="dxa" w:w="3200"/>
          </w:tcPr>
          <w:p>
            <w:r/>
            <w:r>
              <w:rPr>
                <w:rFonts w:ascii="Times New Roman" w:hAnsi="Times New Roman"/>
                <w:sz w:val="16"/>
              </w:rPr>
              <w:t>81 chunks is very small for psychoeducational RAG.</w:t>
            </w:r>
          </w:p>
        </w:tc>
        <w:tc>
          <w:tcPr>
            <w:tcW w:type="dxa" w:w="4200"/>
          </w:tcPr>
          <w:p>
            <w:r/>
            <w:r>
              <w:rPr>
                <w:rFonts w:ascii="Times New Roman" w:hAnsi="Times New Roman"/>
                <w:sz w:val="16"/>
              </w:rPr>
              <w:t>The re-chunking procedure is now described (fine passages of about 500 characters with 80-character overlap at sentence boundaries, built over identical text alongside the original coarse index, motivated by the ~256-token encoder window), and the small corpus is acknowledged as a limitation. The chunk counts quoted in Table 2 and Table 6 are marked UNVERIFIED because the pipeline's chunk-count output was not part of the supplied result set.</w:t>
            </w:r>
          </w:p>
        </w:tc>
        <w:tc>
          <w:tcPr>
            <w:tcW w:type="dxa" w:w="1500"/>
          </w:tcPr>
          <w:p>
            <w:r/>
            <w:r>
              <w:rPr>
                <w:rFonts w:ascii="Times New Roman" w:hAnsi="Times New Roman"/>
                <w:sz w:val="16"/>
              </w:rPr>
              <w:t>3.2.5; Table 2; Table 6; Algorithm 1; new 4.16</w:t>
            </w:r>
          </w:p>
        </w:tc>
        <w:tc>
          <w:tcPr>
            <w:tcW w:type="dxa" w:w="1800"/>
          </w:tcPr>
          <w:p>
            <w:r/>
            <w:r>
              <w:rPr>
                <w:rFonts w:ascii="Times New Roman" w:hAnsi="Times New Roman"/>
                <w:sz w:val="16"/>
              </w:rPr>
              <w:t>Notebook re-chunking cell</w:t>
            </w:r>
          </w:p>
        </w:tc>
        <w:tc>
          <w:tcPr>
            <w:tcW w:type="dxa" w:w="1700"/>
          </w:tcPr>
          <w:p>
            <w:r/>
            <w:r>
              <w:rPr>
                <w:rFonts w:ascii="Times New Roman" w:hAnsi="Times New Roman"/>
                <w:sz w:val="16"/>
              </w:rPr>
              <w:t>PARTIALLY RESOLVED - corpus still small; chunk counts UNVERIFIED</w:t>
            </w:r>
          </w:p>
        </w:tc>
      </w:tr>
      <w:tr>
        <w:tc>
          <w:tcPr>
            <w:tcW w:type="dxa" w:w="520"/>
          </w:tcPr>
          <w:p>
            <w:r/>
            <w:r>
              <w:rPr>
                <w:rFonts w:ascii="Times New Roman" w:hAnsi="Times New Roman"/>
                <w:sz w:val="16"/>
              </w:rPr>
              <w:t>R16</w:t>
            </w:r>
          </w:p>
        </w:tc>
        <w:tc>
          <w:tcPr>
            <w:tcW w:type="dxa" w:w="1000"/>
          </w:tcPr>
          <w:p>
            <w:r/>
            <w:r>
              <w:rPr>
                <w:rFonts w:ascii="Times New Roman" w:hAnsi="Times New Roman"/>
                <w:sz w:val="16"/>
              </w:rPr>
              <w:t>Evaluation</w:t>
            </w:r>
          </w:p>
        </w:tc>
        <w:tc>
          <w:tcPr>
            <w:tcW w:type="dxa" w:w="3200"/>
          </w:tcPr>
          <w:p>
            <w:r/>
            <w:r>
              <w:rPr>
                <w:rFonts w:ascii="Times New Roman" w:hAnsi="Times New Roman"/>
                <w:sz w:val="16"/>
              </w:rPr>
              <w:t>Grounding support is embedding similarity between response sentences and retrieved passages; a system that copies retrieved text scores well regardless of whether that text answers the user.</w:t>
            </w:r>
          </w:p>
        </w:tc>
        <w:tc>
          <w:tcPr>
            <w:tcW w:type="dxa" w:w="4200"/>
          </w:tcPr>
          <w:p>
            <w:r/>
            <w:r>
              <w:rPr>
                <w:rFonts w:ascii="Times New Roman" w:hAnsi="Times New Roman"/>
                <w:sz w:val="16"/>
              </w:rPr>
              <w:t>The definition now states that grounding support is an embedding proxy rather than fact-checking, is computed only against the passages a configuration received, and is undefined without retrieval. The mean maximum similarity underlying the indicator (0.41) was added to Table 7 so that the indicator can be interpreted, and 4.12 reports that grounding is the most length-dependent metric.</w:t>
            </w:r>
          </w:p>
        </w:tc>
        <w:tc>
          <w:tcPr>
            <w:tcW w:type="dxa" w:w="1500"/>
          </w:tcPr>
          <w:p>
            <w:r/>
            <w:r>
              <w:rPr>
                <w:rFonts w:ascii="Times New Roman" w:hAnsi="Times New Roman"/>
                <w:sz w:val="16"/>
              </w:rPr>
              <w:t>4.2 (Grounding Support); Table 7; new 4.12; new 4.15; new 4.16</w:t>
            </w:r>
          </w:p>
        </w:tc>
        <w:tc>
          <w:tcPr>
            <w:tcW w:type="dxa" w:w="1800"/>
          </w:tcPr>
          <w:p>
            <w:r/>
            <w:r>
              <w:rPr>
                <w:rFonts w:ascii="Times New Roman" w:hAnsi="Times New Roman"/>
                <w:sz w:val="16"/>
              </w:rPr>
              <w:t>Table 7 / overall_A7.csv; Table 15 / length_metric_correlations.csv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R17</w:t>
            </w:r>
          </w:p>
        </w:tc>
        <w:tc>
          <w:tcPr>
            <w:tcW w:type="dxa" w:w="1000"/>
          </w:tcPr>
          <w:p>
            <w:r/>
            <w:r>
              <w:rPr>
                <w:rFonts w:ascii="Times New Roman" w:hAnsi="Times New Roman"/>
                <w:sz w:val="16"/>
              </w:rPr>
              <w:t>Evaluation</w:t>
            </w:r>
          </w:p>
        </w:tc>
        <w:tc>
          <w:tcPr>
            <w:tcW w:type="dxa" w:w="3200"/>
          </w:tcPr>
          <w:p>
            <w:r/>
            <w:r>
              <w:rPr>
                <w:rFonts w:ascii="Times New Roman" w:hAnsi="Times New Roman"/>
                <w:sz w:val="16"/>
              </w:rPr>
              <w:t>BERTScore and ROUGE are measured against MentalChat16K reference responses, and ROUGE-L of 0.105 means almost no lexical overlap for any configuration, so it discriminates nothing.</w:t>
            </w:r>
          </w:p>
        </w:tc>
        <w:tc>
          <w:tcPr>
            <w:tcW w:type="dxa" w:w="4200"/>
          </w:tcPr>
          <w:p>
            <w:r/>
            <w:r>
              <w:rPr>
                <w:rFonts w:ascii="Times New Roman" w:hAnsi="Times New Roman"/>
                <w:sz w:val="16"/>
              </w:rPr>
              <w:t>Both definitions now state that they measure similarity to a single acceptable reference and not correctness, helpfulness or safety. The ROUGE-L definition states explicitly that the metric stays below 0.11 for every configuration, discriminates weakly and is reported for completeness only; the same point is repeated in the limitations.</w:t>
            </w:r>
          </w:p>
        </w:tc>
        <w:tc>
          <w:tcPr>
            <w:tcW w:type="dxa" w:w="1500"/>
          </w:tcPr>
          <w:p>
            <w:r/>
            <w:r>
              <w:rPr>
                <w:rFonts w:ascii="Times New Roman" w:hAnsi="Times New Roman"/>
                <w:sz w:val="16"/>
              </w:rPr>
              <w:t>4.2 (BERTScore-F1, ROUGE-L F1); new 4.15; new 4.16</w:t>
            </w:r>
          </w:p>
        </w:tc>
        <w:tc>
          <w:tcPr>
            <w:tcW w:type="dxa" w:w="1800"/>
          </w:tcPr>
          <w:p>
            <w:r/>
            <w:r>
              <w:rPr>
                <w:rFonts w:ascii="Times New Roman" w:hAnsi="Times New Roman"/>
                <w:sz w:val="16"/>
              </w:rPr>
              <w:t>ablation_study.csv, baseline_comparison.csv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R18</w:t>
            </w:r>
          </w:p>
        </w:tc>
        <w:tc>
          <w:tcPr>
            <w:tcW w:type="dxa" w:w="1000"/>
          </w:tcPr>
          <w:p>
            <w:r/>
            <w:r>
              <w:rPr>
                <w:rFonts w:ascii="Times New Roman" w:hAnsi="Times New Roman"/>
                <w:sz w:val="16"/>
              </w:rPr>
              <w:t>Evaluation / Figure</w:t>
            </w:r>
          </w:p>
        </w:tc>
        <w:tc>
          <w:tcPr>
            <w:tcW w:type="dxa" w:w="3200"/>
          </w:tcPr>
          <w:p>
            <w:r/>
            <w:r>
              <w:rPr>
                <w:rFonts w:ascii="Times New Roman" w:hAnsi="Times New Roman"/>
                <w:sz w:val="16"/>
              </w:rPr>
              <w:t>A7 produces much longer responses than A0; longer outputs inflate BERTScore recall and grounding coverage, so length should be controlled for or reported alongside.</w:t>
            </w:r>
          </w:p>
        </w:tc>
        <w:tc>
          <w:tcPr>
            <w:tcW w:type="dxa" w:w="4200"/>
          </w:tcPr>
          <w:p>
            <w:r/>
            <w:r>
              <w:rPr>
                <w:rFonts w:ascii="Times New Roman" w:hAnsi="Times New Roman"/>
                <w:sz w:val="16"/>
              </w:rPr>
              <w:t>A new subsection reports the length distribution per configuration and the Spearman correlations between length and each metric (grounding 0.56, BERTScore-F1 0.41, ROUGE-L 0.29, input relevance 0.18), and states that part of the full configuration's advantage may be a length effect. Figure 7 and 4.6 were updated to the verified medians. The length-controlled (matched-strata) comparison is implemented in the pipeline but its output was not supplied, and this is marked PENDING in the text.</w:t>
            </w:r>
          </w:p>
        </w:tc>
        <w:tc>
          <w:tcPr>
            <w:tcW w:type="dxa" w:w="1500"/>
          </w:tcPr>
          <w:p>
            <w:r/>
            <w:r>
              <w:rPr>
                <w:rFonts w:ascii="Times New Roman" w:hAnsi="Times New Roman"/>
                <w:sz w:val="16"/>
              </w:rPr>
              <w:t>4.6; new 4.12; Table 14; Table 15; Figure 7</w:t>
            </w:r>
          </w:p>
        </w:tc>
        <w:tc>
          <w:tcPr>
            <w:tcW w:type="dxa" w:w="1800"/>
          </w:tcPr>
          <w:p>
            <w:r/>
            <w:r>
              <w:rPr>
                <w:rFonts w:ascii="Times New Roman" w:hAnsi="Times New Roman"/>
                <w:sz w:val="16"/>
              </w:rPr>
              <w:t>Table 14 / response_lengths.csv; Table 15 / length_metric_correlations.csv</w:t>
            </w:r>
          </w:p>
        </w:tc>
        <w:tc>
          <w:tcPr>
            <w:tcW w:type="dxa" w:w="1700"/>
          </w:tcPr>
          <w:p>
            <w:r/>
            <w:r>
              <w:rPr>
                <w:rFonts w:ascii="Times New Roman" w:hAnsi="Times New Roman"/>
                <w:sz w:val="16"/>
              </w:rPr>
              <w:t>PARTIALLY RESOLVED - length-controlled contrasts PENDING</w:t>
            </w:r>
          </w:p>
        </w:tc>
      </w:tr>
      <w:tr>
        <w:tc>
          <w:tcPr>
            <w:tcW w:type="dxa" w:w="520"/>
          </w:tcPr>
          <w:p>
            <w:r/>
            <w:r>
              <w:rPr>
                <w:rFonts w:ascii="Times New Roman" w:hAnsi="Times New Roman"/>
                <w:sz w:val="16"/>
              </w:rPr>
              <w:t>R20</w:t>
            </w:r>
          </w:p>
        </w:tc>
        <w:tc>
          <w:tcPr>
            <w:tcW w:type="dxa" w:w="1000"/>
          </w:tcPr>
          <w:p>
            <w:r/>
            <w:r>
              <w:rPr>
                <w:rFonts w:ascii="Times New Roman" w:hAnsi="Times New Roman"/>
                <w:sz w:val="16"/>
              </w:rPr>
              <w:t>Dataset / Reproducibility</w:t>
            </w:r>
          </w:p>
        </w:tc>
        <w:tc>
          <w:tcPr>
            <w:tcW w:type="dxa" w:w="3200"/>
          </w:tcPr>
          <w:p>
            <w:r/>
            <w:r>
              <w:rPr>
                <w:rFonts w:ascii="Times New Roman" w:hAnsi="Times New Roman"/>
                <w:sz w:val="16"/>
              </w:rPr>
              <w:t>MentalChat16K is split 12,784 / 1,596 / 1,598 but nothing appears to be trained on it; state whether any model is fine-tuned. The 'injection thresholds' taken from the validation split are never explained.</w:t>
            </w:r>
          </w:p>
        </w:tc>
        <w:tc>
          <w:tcPr>
            <w:tcW w:type="dxa" w:w="4200"/>
          </w:tcPr>
          <w:p>
            <w:r/>
            <w:r>
              <w:rPr>
                <w:rFonts w:ascii="Times New Roman" w:hAnsi="Times New Roman"/>
                <w:sz w:val="16"/>
              </w:rPr>
              <w:t>The text now states that no language model is fine-tuned on MentalChat16K and that Qwen2.5-3B-Instruct is used zero-shot, and it lists the three purposes the split actually serves. The injection-threshold procedure is specified as the validation-split confidence quantile that yields a 0.60 injection rate, with the reason it replaced the earlier fixed 0.35 threshold; a corresponding row was added to Table 6 and a step to Algorithm 1.</w:t>
            </w:r>
          </w:p>
        </w:tc>
        <w:tc>
          <w:tcPr>
            <w:tcW w:type="dxa" w:w="1500"/>
          </w:tcPr>
          <w:p>
            <w:r/>
            <w:r>
              <w:rPr>
                <w:rFonts w:ascii="Times New Roman" w:hAnsi="Times New Roman"/>
                <w:sz w:val="16"/>
              </w:rPr>
              <w:t>3.2.1; Table 6; Algorithm 1</w:t>
            </w:r>
          </w:p>
        </w:tc>
        <w:tc>
          <w:tcPr>
            <w:tcW w:type="dxa" w:w="1800"/>
          </w:tcPr>
          <w:p>
            <w:r/>
            <w:r>
              <w:rPr>
                <w:rFonts w:ascii="Times New Roman" w:hAnsi="Times New Roman"/>
                <w:sz w:val="16"/>
              </w:rPr>
              <w:t>Notebook configuration and threshold-selection cells</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R22</w:t>
            </w:r>
          </w:p>
        </w:tc>
        <w:tc>
          <w:tcPr>
            <w:tcW w:type="dxa" w:w="1000"/>
          </w:tcPr>
          <w:p>
            <w:r/>
            <w:r>
              <w:rPr>
                <w:rFonts w:ascii="Times New Roman" w:hAnsi="Times New Roman"/>
                <w:sz w:val="16"/>
              </w:rPr>
              <w:t>Consistency</w:t>
            </w:r>
          </w:p>
        </w:tc>
        <w:tc>
          <w:tcPr>
            <w:tcW w:type="dxa" w:w="3200"/>
          </w:tcPr>
          <w:p>
            <w:r/>
            <w:r>
              <w:rPr>
                <w:rFonts w:ascii="Times New Roman" w:hAnsi="Times New Roman"/>
                <w:sz w:val="16"/>
              </w:rPr>
              <w:t>A2 is 'RAG + user profile + classification' and A6 is 'full minus strategy guidance'; the difference between them is not stated, yet they give different results.</w:t>
            </w:r>
          </w:p>
        </w:tc>
        <w:tc>
          <w:tcPr>
            <w:tcW w:type="dxa" w:w="4200"/>
          </w:tcPr>
          <w:p>
            <w:r/>
            <w:r>
              <w:rPr>
                <w:rFonts w:ascii="Times New Roman" w:hAnsi="Times New Roman"/>
                <w:sz w:val="16"/>
              </w:rPr>
              <w:t>The three strategy conditions are now defined explicitly: A2 inserts the classifier-predicted strategy, A6 omits the strategy block entirely, and A7 replaces the classifier prediction with the adaptive scorer that combines emotion, intensity, urgency, need and topic. This is stated in the methodology and repeated in the ablation discussion.</w:t>
            </w:r>
          </w:p>
        </w:tc>
        <w:tc>
          <w:tcPr>
            <w:tcW w:type="dxa" w:w="1500"/>
          </w:tcPr>
          <w:p>
            <w:r/>
            <w:r>
              <w:rPr>
                <w:rFonts w:ascii="Times New Roman" w:hAnsi="Times New Roman"/>
                <w:sz w:val="16"/>
              </w:rPr>
              <w:t>3.7; 4.8</w:t>
            </w:r>
          </w:p>
        </w:tc>
        <w:tc>
          <w:tcPr>
            <w:tcW w:type="dxa" w:w="1800"/>
          </w:tcPr>
          <w:p>
            <w:r/>
            <w:r>
              <w:rPr>
                <w:rFonts w:ascii="Times New Roman" w:hAnsi="Times New Roman"/>
                <w:sz w:val="16"/>
              </w:rPr>
              <w:t>Notebook configuration definitions</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R23</w:t>
            </w:r>
          </w:p>
        </w:tc>
        <w:tc>
          <w:tcPr>
            <w:tcW w:type="dxa" w:w="1000"/>
          </w:tcPr>
          <w:p>
            <w:r/>
            <w:r>
              <w:rPr>
                <w:rFonts w:ascii="Times New Roman" w:hAnsi="Times New Roman"/>
                <w:sz w:val="16"/>
              </w:rPr>
              <w:t>Writing</w:t>
            </w:r>
          </w:p>
        </w:tc>
        <w:tc>
          <w:tcPr>
            <w:tcW w:type="dxa" w:w="3200"/>
          </w:tcPr>
          <w:p>
            <w:r/>
            <w:r>
              <w:rPr>
                <w:rFonts w:ascii="Times New Roman" w:hAnsi="Times New Roman"/>
                <w:sz w:val="16"/>
              </w:rPr>
              <w:t>Equation variables are missing throughout the methodology; the equation objects did not survive, so paragraphs 72 to 147 have blank symbols.</w:t>
            </w:r>
          </w:p>
        </w:tc>
        <w:tc>
          <w:tcPr>
            <w:tcW w:type="dxa" w:w="4200"/>
          </w:tcPr>
          <w:p>
            <w:r/>
            <w:r>
              <w:rPr>
                <w:rFonts w:ascii="Times New Roman" w:hAnsi="Times New Roman"/>
                <w:sz w:val="16"/>
              </w:rPr>
              <w:t>The equation objects are present in the source manuscript, so the blanks arose in conversion. To remove the risk, every nomenclature sentence and every algorithm step was rewritten with the symbols as plain text (X, E, P, N, U, S, R, C, Y, Y*, f_emotion, x_i, y_j, s_i, k_j, D_i, T_i, M); the numbered display equations were left untouched.</w:t>
            </w:r>
          </w:p>
        </w:tc>
        <w:tc>
          <w:tcPr>
            <w:tcW w:type="dxa" w:w="1500"/>
          </w:tcPr>
          <w:p>
            <w:r/>
            <w:r>
              <w:rPr>
                <w:rFonts w:ascii="Times New Roman" w:hAnsi="Times New Roman"/>
                <w:sz w:val="16"/>
              </w:rPr>
              <w:t>3.4; 3.6; 3.7; 3.8; 3.9; 4.2; Algorithm 1</w:t>
            </w:r>
          </w:p>
        </w:tc>
        <w:tc>
          <w:tcPr>
            <w:tcW w:type="dxa" w:w="1800"/>
          </w:tcPr>
          <w:p>
            <w:r/>
            <w:r>
              <w:rPr>
                <w:rFonts w:ascii="Times New Roman" w:hAnsi="Times New Roman"/>
                <w:sz w:val="16"/>
              </w:rPr>
              <w:t>Original manuscript (OMML objects verified present)</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R24</w:t>
            </w:r>
          </w:p>
        </w:tc>
        <w:tc>
          <w:tcPr>
            <w:tcW w:type="dxa" w:w="1000"/>
          </w:tcPr>
          <w:p>
            <w:r/>
            <w:r>
              <w:rPr>
                <w:rFonts w:ascii="Times New Roman" w:hAnsi="Times New Roman"/>
                <w:sz w:val="16"/>
              </w:rPr>
              <w:t>Writing</w:t>
            </w:r>
          </w:p>
        </w:tc>
        <w:tc>
          <w:tcPr>
            <w:tcW w:type="dxa" w:w="3200"/>
          </w:tcPr>
          <w:p>
            <w:r/>
            <w:r>
              <w:rPr>
                <w:rFonts w:ascii="Times New Roman" w:hAnsi="Times New Roman"/>
                <w:sz w:val="16"/>
              </w:rPr>
              <w:t>Paragraph 11 repeats the abstract almost verbatim, including all five numbers.</w:t>
            </w:r>
          </w:p>
        </w:tc>
        <w:tc>
          <w:tcPr>
            <w:tcW w:type="dxa" w:w="4200"/>
          </w:tcPr>
          <w:p>
            <w:r/>
            <w:r>
              <w:rPr>
                <w:rFonts w:ascii="Times New Roman" w:hAnsi="Times New Roman"/>
                <w:sz w:val="16"/>
              </w:rPr>
              <w:t>The duplicated numeric sentence was removed and replaced with a pointer to Section 4; the numbers now appear once, in the abstract and in the results.</w:t>
            </w:r>
          </w:p>
        </w:tc>
        <w:tc>
          <w:tcPr>
            <w:tcW w:type="dxa" w:w="1500"/>
          </w:tcPr>
          <w:p>
            <w:r/>
            <w:r>
              <w:rPr>
                <w:rFonts w:ascii="Times New Roman" w:hAnsi="Times New Roman"/>
                <w:sz w:val="16"/>
              </w:rPr>
              <w:t>1. Introduction</w:t>
            </w:r>
          </w:p>
        </w:tc>
        <w:tc>
          <w:tcPr>
            <w:tcW w:type="dxa" w:w="1800"/>
          </w:tcPr>
          <w:p>
            <w:r/>
            <w:r>
              <w:rPr>
                <w:rFonts w:ascii="Times New Roman" w:hAnsi="Times New Roman"/>
                <w:sz w:val="16"/>
              </w:rPr>
              <w:t>Critical review</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R25</w:t>
            </w:r>
          </w:p>
        </w:tc>
        <w:tc>
          <w:tcPr>
            <w:tcW w:type="dxa" w:w="1000"/>
          </w:tcPr>
          <w:p>
            <w:r/>
            <w:r>
              <w:rPr>
                <w:rFonts w:ascii="Times New Roman" w:hAnsi="Times New Roman"/>
                <w:sz w:val="16"/>
              </w:rPr>
              <w:t>Writing</w:t>
            </w:r>
          </w:p>
        </w:tc>
        <w:tc>
          <w:tcPr>
            <w:tcW w:type="dxa" w:w="3200"/>
          </w:tcPr>
          <w:p>
            <w:r/>
            <w:r>
              <w:rPr>
                <w:rFonts w:ascii="Times New Roman" w:hAnsi="Times New Roman"/>
                <w:sz w:val="16"/>
              </w:rPr>
              <w:t>There is no Discussion or Limitations section; 'Results and Discussion' is combined and the Conclusion runs straight after.</w:t>
            </w:r>
          </w:p>
        </w:tc>
        <w:tc>
          <w:tcPr>
            <w:tcW w:type="dxa" w:w="4200"/>
          </w:tcPr>
          <w:p>
            <w:r/>
            <w:r>
              <w:rPr>
                <w:rFonts w:ascii="Times New Roman" w:hAnsi="Times New Roman"/>
                <w:sz w:val="16"/>
              </w:rPr>
              <w:t>A Discussion subsection and a Limitations subsection were added at the end of Section 4, before the conclusion, so that the existing section numbering is preserved. The discussion states what the evidence supports; the limitations cover automatic-only evaluation, the single reference, the length confound, component quality, corpus size, the single-turn benchmark, single-run decoding, statistical coverage, hardware-specific latency and language scope.</w:t>
            </w:r>
          </w:p>
        </w:tc>
        <w:tc>
          <w:tcPr>
            <w:tcW w:type="dxa" w:w="1500"/>
          </w:tcPr>
          <w:p>
            <w:r/>
            <w:r>
              <w:rPr>
                <w:rFonts w:ascii="Times New Roman" w:hAnsi="Times New Roman"/>
                <w:sz w:val="16"/>
              </w:rPr>
              <w:t>new 4.15; new 4.16</w:t>
            </w:r>
          </w:p>
        </w:tc>
        <w:tc>
          <w:tcPr>
            <w:tcW w:type="dxa" w:w="1800"/>
          </w:tcPr>
          <w:p>
            <w:r/>
            <w:r>
              <w:rPr>
                <w:rFonts w:ascii="Times New Roman" w:hAnsi="Times New Roman"/>
                <w:sz w:val="16"/>
              </w:rPr>
              <w:t>All supplied result files</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R26</w:t>
            </w:r>
          </w:p>
        </w:tc>
        <w:tc>
          <w:tcPr>
            <w:tcW w:type="dxa" w:w="1000"/>
          </w:tcPr>
          <w:p>
            <w:r/>
            <w:r>
              <w:rPr>
                <w:rFonts w:ascii="Times New Roman" w:hAnsi="Times New Roman"/>
                <w:sz w:val="16"/>
              </w:rPr>
              <w:t>Writing</w:t>
            </w:r>
          </w:p>
        </w:tc>
        <w:tc>
          <w:tcPr>
            <w:tcW w:type="dxa" w:w="3200"/>
          </w:tcPr>
          <w:p>
            <w:r/>
            <w:r>
              <w:rPr>
                <w:rFonts w:ascii="Times New Roman" w:hAnsi="Times New Roman"/>
                <w:sz w:val="16"/>
              </w:rPr>
              <w:t>Section headings are inconsistent in case ('1.Introduction', '4. RESULTS AND DISCUSSION', '5. CONCLUSION AND FUTURE WORK').</w:t>
            </w:r>
          </w:p>
        </w:tc>
        <w:tc>
          <w:tcPr>
            <w:tcW w:type="dxa" w:w="4200"/>
          </w:tcPr>
          <w:p>
            <w:r/>
            <w:r>
              <w:rPr>
                <w:rFonts w:ascii="Times New Roman" w:hAnsi="Times New Roman"/>
                <w:sz w:val="16"/>
              </w:rPr>
              <w:t>Headings were normalized to '1. Introduction', '3. Proposed Methodology', '4. Results and Discussion' and '5. Conclusion and Future Work'. No heading was renamed, reordered or renumbered.</w:t>
            </w:r>
          </w:p>
        </w:tc>
        <w:tc>
          <w:tcPr>
            <w:tcW w:type="dxa" w:w="1500"/>
          </w:tcPr>
          <w:p>
            <w:r/>
            <w:r>
              <w:rPr>
                <w:rFonts w:ascii="Times New Roman" w:hAnsi="Times New Roman"/>
                <w:sz w:val="16"/>
              </w:rPr>
              <w:t>1; 3; 4; 5</w:t>
            </w:r>
          </w:p>
        </w:tc>
        <w:tc>
          <w:tcPr>
            <w:tcW w:type="dxa" w:w="1800"/>
          </w:tcPr>
          <w:p>
            <w:r/>
            <w:r>
              <w:rPr>
                <w:rFonts w:ascii="Times New Roman" w:hAnsi="Times New Roman"/>
                <w:sz w:val="16"/>
              </w:rPr>
              <w:t>Critical review</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R27</w:t>
            </w:r>
          </w:p>
        </w:tc>
        <w:tc>
          <w:tcPr>
            <w:tcW w:type="dxa" w:w="1000"/>
          </w:tcPr>
          <w:p>
            <w:r/>
            <w:r>
              <w:rPr>
                <w:rFonts w:ascii="Times New Roman" w:hAnsi="Times New Roman"/>
                <w:sz w:val="16"/>
              </w:rPr>
              <w:t>Citation</w:t>
            </w:r>
          </w:p>
        </w:tc>
        <w:tc>
          <w:tcPr>
            <w:tcW w:type="dxa" w:w="3200"/>
          </w:tcPr>
          <w:p>
            <w:r/>
            <w:r>
              <w:rPr>
                <w:rFonts w:ascii="Times New Roman" w:hAnsi="Times New Roman"/>
                <w:sz w:val="16"/>
              </w:rPr>
              <w:t>Citations are numeric [n]; switch to Author et al. (Year) if the target journal is author-date. All 30 are cited, which is good.</w:t>
            </w:r>
          </w:p>
        </w:tc>
        <w:tc>
          <w:tcPr>
            <w:tcW w:type="dxa" w:w="4200"/>
          </w:tcPr>
          <w:p>
            <w:r/>
            <w:r>
              <w:rPr>
                <w:rFonts w:ascii="Times New Roman" w:hAnsi="Times New Roman"/>
                <w:sz w:val="16"/>
              </w:rPr>
              <w:t>No change made. The requirement is conditional on the target journal's style, which is not specified; converting 30 references and all in-text citations would be a formatting decision for the authors. The reference list, numbering and order are unchanged.</w:t>
            </w:r>
          </w:p>
        </w:tc>
        <w:tc>
          <w:tcPr>
            <w:tcW w:type="dxa" w:w="1500"/>
          </w:tcPr>
          <w:p>
            <w:r/>
            <w:r>
              <w:rPr>
                <w:rFonts w:ascii="Times New Roman" w:hAnsi="Times New Roman"/>
                <w:sz w:val="16"/>
              </w:rPr>
              <w:t>6. References (unchanged)</w:t>
            </w:r>
          </w:p>
        </w:tc>
        <w:tc>
          <w:tcPr>
            <w:tcW w:type="dxa" w:w="1800"/>
          </w:tcPr>
          <w:p>
            <w:r/>
            <w:r>
              <w:rPr>
                <w:rFonts w:ascii="Times New Roman" w:hAnsi="Times New Roman"/>
                <w:sz w:val="16"/>
              </w:rPr>
              <w:t>-</w:t>
            </w:r>
          </w:p>
        </w:tc>
        <w:tc>
          <w:tcPr>
            <w:tcW w:type="dxa" w:w="1700"/>
          </w:tcPr>
          <w:p>
            <w:r/>
            <w:r>
              <w:rPr>
                <w:rFonts w:ascii="Times New Roman" w:hAnsi="Times New Roman"/>
                <w:sz w:val="16"/>
              </w:rPr>
              <w:t>REQUIRES HUMAN ACTION</w:t>
            </w:r>
          </w:p>
        </w:tc>
      </w:tr>
      <w:tr>
        <w:tc>
          <w:tcPr>
            <w:tcW w:type="dxa" w:w="520"/>
          </w:tcPr>
          <w:p>
            <w:r/>
            <w:r>
              <w:rPr>
                <w:rFonts w:ascii="Times New Roman" w:hAnsi="Times New Roman"/>
                <w:sz w:val="16"/>
              </w:rPr>
              <w:t>R29</w:t>
            </w:r>
          </w:p>
        </w:tc>
        <w:tc>
          <w:tcPr>
            <w:tcW w:type="dxa" w:w="1000"/>
          </w:tcPr>
          <w:p>
            <w:r/>
            <w:r>
              <w:rPr>
                <w:rFonts w:ascii="Times New Roman" w:hAnsi="Times New Roman"/>
                <w:sz w:val="16"/>
              </w:rPr>
              <w:t>Writing</w:t>
            </w:r>
          </w:p>
        </w:tc>
        <w:tc>
          <w:tcPr>
            <w:tcW w:type="dxa" w:w="3200"/>
          </w:tcPr>
          <w:p>
            <w:r/>
            <w:r>
              <w:rPr>
                <w:rFonts w:ascii="Times New Roman" w:hAnsi="Times New Roman"/>
                <w:sz w:val="16"/>
              </w:rPr>
              <w:t>The abstract reads a little mechanically and ends on 'empirical grounds for investigating', which undersells a finding; once the significance results exist, end on what they show.</w:t>
            </w:r>
          </w:p>
        </w:tc>
        <w:tc>
          <w:tcPr>
            <w:tcW w:type="dxa" w:w="4200"/>
          </w:tcPr>
          <w:p>
            <w:r/>
            <w:r>
              <w:rPr>
                <w:rFonts w:ascii="Times New Roman" w:hAnsi="Times New Roman"/>
                <w:sz w:val="16"/>
              </w:rPr>
              <w:t>The abstract now ends on the finding: the baselines are separated with corrected significance, the advantage over the retrieval-plus-profiling configuration is not significant, retrieval and profiling account for most of the gain, emotion and strategy guidance mainly reduce detected defects, and human evaluation is outstanding. Structure and approximate length were preserved.</w:t>
            </w:r>
          </w:p>
        </w:tc>
        <w:tc>
          <w:tcPr>
            <w:tcW w:type="dxa" w:w="1500"/>
          </w:tcPr>
          <w:p>
            <w:r/>
            <w:r>
              <w:rPr>
                <w:rFonts w:ascii="Times New Roman" w:hAnsi="Times New Roman"/>
                <w:sz w:val="16"/>
              </w:rPr>
              <w:t>Abstract</w:t>
            </w:r>
          </w:p>
        </w:tc>
        <w:tc>
          <w:tcPr>
            <w:tcW w:type="dxa" w:w="1800"/>
          </w:tcPr>
          <w:p>
            <w:r/>
            <w:r>
              <w:rPr>
                <w:rFonts w:ascii="Times New Roman" w:hAnsi="Times New Roman"/>
                <w:sz w:val="16"/>
              </w:rPr>
              <w:t>statistical_contrasts_bertscore.csv; overall_A7.csv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R31</w:t>
            </w:r>
          </w:p>
        </w:tc>
        <w:tc>
          <w:tcPr>
            <w:tcW w:type="dxa" w:w="1000"/>
          </w:tcPr>
          <w:p>
            <w:r/>
            <w:r>
              <w:rPr>
                <w:rFonts w:ascii="Times New Roman" w:hAnsi="Times New Roman"/>
                <w:sz w:val="16"/>
              </w:rPr>
              <w:t>Required action</w:t>
            </w:r>
          </w:p>
        </w:tc>
        <w:tc>
          <w:tcPr>
            <w:tcW w:type="dxa" w:w="3200"/>
          </w:tcPr>
          <w:p>
            <w:r/>
            <w:r>
              <w:rPr>
                <w:rFonts w:ascii="Times New Roman" w:hAnsi="Times New Roman"/>
                <w:sz w:val="16"/>
              </w:rPr>
              <w:t>Rerun Table 9 properly, explain how bare LLMs received a grounding score, and fix the comparison design.</w:t>
            </w:r>
          </w:p>
        </w:tc>
        <w:tc>
          <w:tcPr>
            <w:tcW w:type="dxa" w:w="4200"/>
          </w:tcPr>
          <w:p>
            <w:r/>
            <w:r>
              <w:rPr>
                <w:rFonts w:ascii="Times New Roman" w:hAnsi="Times New Roman"/>
                <w:sz w:val="16"/>
              </w:rPr>
              <w:t>Done under R03, R04 and R05: Table 9 rebuilt from the generator-swap run, grounding restricted to retrieval arms, and the confound removed.</w:t>
            </w:r>
          </w:p>
        </w:tc>
        <w:tc>
          <w:tcPr>
            <w:tcW w:type="dxa" w:w="1500"/>
          </w:tcPr>
          <w:p>
            <w:r/>
            <w:r>
              <w:rPr>
                <w:rFonts w:ascii="Times New Roman" w:hAnsi="Times New Roman"/>
                <w:sz w:val="16"/>
              </w:rPr>
              <w:t>4.7; Table 9; Figure 8</w:t>
            </w:r>
          </w:p>
        </w:tc>
        <w:tc>
          <w:tcPr>
            <w:tcW w:type="dxa" w:w="1800"/>
          </w:tcPr>
          <w:p>
            <w:r/>
            <w:r>
              <w:rPr>
                <w:rFonts w:ascii="Times New Roman" w:hAnsi="Times New Roman"/>
                <w:sz w:val="16"/>
              </w:rPr>
              <w:t>sota_designA.csv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R32</w:t>
            </w:r>
          </w:p>
        </w:tc>
        <w:tc>
          <w:tcPr>
            <w:tcW w:type="dxa" w:w="1000"/>
          </w:tcPr>
          <w:p>
            <w:r/>
            <w:r>
              <w:rPr>
                <w:rFonts w:ascii="Times New Roman" w:hAnsi="Times New Roman"/>
                <w:sz w:val="16"/>
              </w:rPr>
              <w:t>Required action</w:t>
            </w:r>
          </w:p>
        </w:tc>
        <w:tc>
          <w:tcPr>
            <w:tcW w:type="dxa" w:w="3200"/>
          </w:tcPr>
          <w:p>
            <w:r/>
            <w:r>
              <w:rPr>
                <w:rFonts w:ascii="Times New Roman" w:hAnsi="Times New Roman"/>
                <w:sz w:val="16"/>
              </w:rPr>
              <w:t>Add bootstrap confidence intervals and paired significance tests for every configuration comparison and rewrite every 'better' claim to match.</w:t>
            </w:r>
          </w:p>
        </w:tc>
        <w:tc>
          <w:tcPr>
            <w:tcW w:type="dxa" w:w="4200"/>
          </w:tcPr>
          <w:p>
            <w:r/>
            <w:r>
              <w:rPr>
                <w:rFonts w:ascii="Times New Roman" w:hAnsi="Times New Roman"/>
                <w:sz w:val="16"/>
              </w:rPr>
              <w:t>Done for BERTScore-F1, the primary metric, in the new statistical subsection, and every comparative claim was rewritten. Paired tests for the remaining automatic metrics are produced by the same pipeline procedure but were not part of the supplied result set; this is marked PENDING in the text rather than filled in.</w:t>
            </w:r>
          </w:p>
        </w:tc>
        <w:tc>
          <w:tcPr>
            <w:tcW w:type="dxa" w:w="1500"/>
          </w:tcPr>
          <w:p>
            <w:r/>
            <w:r>
              <w:rPr>
                <w:rFonts w:ascii="Times New Roman" w:hAnsi="Times New Roman"/>
                <w:sz w:val="16"/>
              </w:rPr>
              <w:t>4.1; new 4.10; Table 12; Figure 9</w:t>
            </w:r>
          </w:p>
        </w:tc>
        <w:tc>
          <w:tcPr>
            <w:tcW w:type="dxa" w:w="1800"/>
          </w:tcPr>
          <w:p>
            <w:r/>
            <w:r>
              <w:rPr>
                <w:rFonts w:ascii="Times New Roman" w:hAnsi="Times New Roman"/>
                <w:sz w:val="16"/>
              </w:rPr>
              <w:t>statistical_contrasts_bertscore.csv</w:t>
            </w:r>
          </w:p>
        </w:tc>
        <w:tc>
          <w:tcPr>
            <w:tcW w:type="dxa" w:w="1700"/>
          </w:tcPr>
          <w:p>
            <w:r/>
            <w:r>
              <w:rPr>
                <w:rFonts w:ascii="Times New Roman" w:hAnsi="Times New Roman"/>
                <w:sz w:val="16"/>
              </w:rPr>
              <w:t>PARTIALLY RESOLVED - tests for non-BERTScore metrics PENDING</w:t>
            </w:r>
          </w:p>
        </w:tc>
      </w:tr>
      <w:tr>
        <w:tc>
          <w:tcPr>
            <w:tcW w:type="dxa" w:w="520"/>
          </w:tcPr>
          <w:p>
            <w:r/>
            <w:r>
              <w:rPr>
                <w:rFonts w:ascii="Times New Roman" w:hAnsi="Times New Roman"/>
                <w:sz w:val="16"/>
              </w:rPr>
              <w:t>R33</w:t>
            </w:r>
          </w:p>
        </w:tc>
        <w:tc>
          <w:tcPr>
            <w:tcW w:type="dxa" w:w="1000"/>
          </w:tcPr>
          <w:p>
            <w:r/>
            <w:r>
              <w:rPr>
                <w:rFonts w:ascii="Times New Roman" w:hAnsi="Times New Roman"/>
                <w:sz w:val="16"/>
              </w:rPr>
              <w:t>Required action</w:t>
            </w:r>
          </w:p>
        </w:tc>
        <w:tc>
          <w:tcPr>
            <w:tcW w:type="dxa" w:w="3200"/>
          </w:tcPr>
          <w:p>
            <w:r/>
            <w:r>
              <w:rPr>
                <w:rFonts w:ascii="Times New Roman" w:hAnsi="Times New Roman"/>
                <w:sz w:val="16"/>
              </w:rPr>
              <w:t>Report accuracy for the emotion, personality and strategy classifiers.</w:t>
            </w:r>
          </w:p>
        </w:tc>
        <w:tc>
          <w:tcPr>
            <w:tcW w:type="dxa" w:w="4200"/>
          </w:tcPr>
          <w:p>
            <w:r/>
            <w:r>
              <w:rPr>
                <w:rFonts w:ascii="Times New Roman" w:hAnsi="Times New Roman"/>
                <w:sz w:val="16"/>
              </w:rPr>
              <w:t>Done under R09: Table 11 reports accuracy, macro-F1, weighted-F1 and ROC-AUC for all three, plus the leaky legacy strategy model as a diagnostic.</w:t>
            </w:r>
          </w:p>
        </w:tc>
        <w:tc>
          <w:tcPr>
            <w:tcW w:type="dxa" w:w="1500"/>
          </w:tcPr>
          <w:p>
            <w:r/>
            <w:r>
              <w:rPr>
                <w:rFonts w:ascii="Times New Roman" w:hAnsi="Times New Roman"/>
                <w:sz w:val="16"/>
              </w:rPr>
              <w:t>new 4.9; Table 11</w:t>
            </w:r>
          </w:p>
        </w:tc>
        <w:tc>
          <w:tcPr>
            <w:tcW w:type="dxa" w:w="1800"/>
          </w:tcPr>
          <w:p>
            <w:r/>
            <w:r>
              <w:rPr>
                <w:rFonts w:ascii="Times New Roman" w:hAnsi="Times New Roman"/>
                <w:sz w:val="16"/>
              </w:rPr>
              <w:t>component_classifiers.csv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R34</w:t>
            </w:r>
          </w:p>
        </w:tc>
        <w:tc>
          <w:tcPr>
            <w:tcW w:type="dxa" w:w="1000"/>
          </w:tcPr>
          <w:p>
            <w:r/>
            <w:r>
              <w:rPr>
                <w:rFonts w:ascii="Times New Roman" w:hAnsi="Times New Roman"/>
                <w:sz w:val="16"/>
              </w:rPr>
              <w:t>Required action</w:t>
            </w:r>
          </w:p>
        </w:tc>
        <w:tc>
          <w:tcPr>
            <w:tcW w:type="dxa" w:w="3200"/>
          </w:tcPr>
          <w:p>
            <w:r/>
            <w:r>
              <w:rPr>
                <w:rFonts w:ascii="Times New Roman" w:hAnsi="Times New Roman"/>
                <w:sz w:val="16"/>
              </w:rPr>
              <w:t>Add a human evaluation on at least 50 to 100 items, plus an ethics and crisis-handling statement.</w:t>
            </w:r>
          </w:p>
        </w:tc>
        <w:tc>
          <w:tcPr>
            <w:tcW w:type="dxa" w:w="4200"/>
          </w:tcPr>
          <w:p>
            <w:r/>
            <w:r>
              <w:rPr>
                <w:rFonts w:ascii="Times New Roman" w:hAnsi="Times New Roman"/>
                <w:sz w:val="16"/>
              </w:rPr>
              <w:t>The ethics and crisis-handling statement was added (new 3.10) and the blinded pairwise protocol is documented (new 4.14). The human evaluation itself cannot be fabricated: no annotated returns exist, so the paper reports no human results, claims none, and lists the study as required outstanding work.</w:t>
            </w:r>
          </w:p>
        </w:tc>
        <w:tc>
          <w:tcPr>
            <w:tcW w:type="dxa" w:w="1500"/>
          </w:tcPr>
          <w:p>
            <w:r/>
            <w:r>
              <w:rPr>
                <w:rFonts w:ascii="Times New Roman" w:hAnsi="Times New Roman"/>
                <w:sz w:val="16"/>
              </w:rPr>
              <w:t>new 3.10; new 4.14; new 4.16; 5</w:t>
            </w:r>
          </w:p>
        </w:tc>
        <w:tc>
          <w:tcPr>
            <w:tcW w:type="dxa" w:w="1800"/>
          </w:tcPr>
          <w:p>
            <w:r/>
            <w:r>
              <w:rPr>
                <w:rFonts w:ascii="Times New Roman" w:hAnsi="Times New Roman"/>
                <w:sz w:val="16"/>
              </w:rPr>
              <w:t>Notebook human-eval export cells (status: pending)</w:t>
            </w:r>
          </w:p>
        </w:tc>
        <w:tc>
          <w:tcPr>
            <w:tcW w:type="dxa" w:w="1700"/>
          </w:tcPr>
          <w:p>
            <w:r/>
            <w:r>
              <w:rPr>
                <w:rFonts w:ascii="Times New Roman" w:hAnsi="Times New Roman"/>
                <w:sz w:val="16"/>
              </w:rPr>
              <w:t>REQUIRES HUMAN ACTION</w:t>
            </w:r>
          </w:p>
        </w:tc>
      </w:tr>
      <w:tr>
        <w:tc>
          <w:tcPr>
            <w:tcW w:type="dxa" w:w="520"/>
          </w:tcPr>
          <w:p>
            <w:r/>
            <w:r>
              <w:rPr>
                <w:rFonts w:ascii="Times New Roman" w:hAnsi="Times New Roman"/>
                <w:sz w:val="16"/>
              </w:rPr>
              <w:t>R35</w:t>
            </w:r>
          </w:p>
        </w:tc>
        <w:tc>
          <w:tcPr>
            <w:tcW w:type="dxa" w:w="1000"/>
          </w:tcPr>
          <w:p>
            <w:r/>
            <w:r>
              <w:rPr>
                <w:rFonts w:ascii="Times New Roman" w:hAnsi="Times New Roman"/>
                <w:sz w:val="16"/>
              </w:rPr>
              <w:t>Required action</w:t>
            </w:r>
          </w:p>
        </w:tc>
        <w:tc>
          <w:tcPr>
            <w:tcW w:type="dxa" w:w="3200"/>
          </w:tcPr>
          <w:p>
            <w:r/>
            <w:r>
              <w:rPr>
                <w:rFonts w:ascii="Times New Roman" w:hAnsi="Times New Roman"/>
                <w:sz w:val="16"/>
              </w:rPr>
              <w:t>Define the defect detector and the need/context module, or remove them.</w:t>
            </w:r>
          </w:p>
        </w:tc>
        <w:tc>
          <w:tcPr>
            <w:tcW w:type="dxa" w:w="4200"/>
          </w:tcPr>
          <w:p>
            <w:r/>
            <w:r>
              <w:rPr>
                <w:rFonts w:ascii="Times New Roman" w:hAnsi="Times New Roman"/>
                <w:sz w:val="16"/>
              </w:rPr>
              <w:t>Both are now defined: the defect detector in 4.2 and 4.13, the need/context module in 3.6.3. Neither was removed, and both are described with their limitations.</w:t>
            </w:r>
          </w:p>
        </w:tc>
        <w:tc>
          <w:tcPr>
            <w:tcW w:type="dxa" w:w="1500"/>
          </w:tcPr>
          <w:p>
            <w:r/>
            <w:r>
              <w:rPr>
                <w:rFonts w:ascii="Times New Roman" w:hAnsi="Times New Roman"/>
                <w:sz w:val="16"/>
              </w:rPr>
              <w:t>4.2; 3.6.3; new 4.13</w:t>
            </w:r>
          </w:p>
        </w:tc>
        <w:tc>
          <w:tcPr>
            <w:tcW w:type="dxa" w:w="1800"/>
          </w:tcPr>
          <w:p>
            <w:r/>
            <w:r>
              <w:rPr>
                <w:rFonts w:ascii="Times New Roman" w:hAnsi="Times New Roman"/>
                <w:sz w:val="16"/>
              </w:rPr>
              <w:t>Notebook screens and judge protocol; defect_composition_A7.csv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R36</w:t>
            </w:r>
          </w:p>
        </w:tc>
        <w:tc>
          <w:tcPr>
            <w:tcW w:type="dxa" w:w="1000"/>
          </w:tcPr>
          <w:p>
            <w:r/>
            <w:r>
              <w:rPr>
                <w:rFonts w:ascii="Times New Roman" w:hAnsi="Times New Roman"/>
                <w:sz w:val="16"/>
              </w:rPr>
              <w:t>Required action</w:t>
            </w:r>
          </w:p>
        </w:tc>
        <w:tc>
          <w:tcPr>
            <w:tcW w:type="dxa" w:w="3200"/>
          </w:tcPr>
          <w:p>
            <w:r/>
            <w:r>
              <w:rPr>
                <w:rFonts w:ascii="Times New Roman" w:hAnsi="Times New Roman"/>
                <w:sz w:val="16"/>
              </w:rPr>
              <w:t>Remove memory from the framework or evaluate it on multi-turn data.</w:t>
            </w:r>
          </w:p>
        </w:tc>
        <w:tc>
          <w:tcPr>
            <w:tcW w:type="dxa" w:w="4200"/>
          </w:tcPr>
          <w:p>
            <w:r/>
            <w:r>
              <w:rPr>
                <w:rFonts w:ascii="Times New Roman" w:hAnsi="Times New Roman"/>
                <w:sz w:val="16"/>
              </w:rPr>
              <w:t>Evaluated on multi-turn data; see R13.</w:t>
            </w:r>
          </w:p>
        </w:tc>
        <w:tc>
          <w:tcPr>
            <w:tcW w:type="dxa" w:w="1500"/>
          </w:tcPr>
          <w:p>
            <w:r/>
            <w:r>
              <w:rPr>
                <w:rFonts w:ascii="Times New Roman" w:hAnsi="Times New Roman"/>
                <w:sz w:val="16"/>
              </w:rPr>
              <w:t>new 4.11; Table 13</w:t>
            </w:r>
          </w:p>
        </w:tc>
        <w:tc>
          <w:tcPr>
            <w:tcW w:type="dxa" w:w="1800"/>
          </w:tcPr>
          <w:p>
            <w:r/>
            <w:r>
              <w:rPr>
                <w:rFonts w:ascii="Times New Roman" w:hAnsi="Times New Roman"/>
                <w:sz w:val="16"/>
              </w:rPr>
              <w:t>memory_experiment.csv</w:t>
            </w:r>
          </w:p>
        </w:tc>
        <w:tc>
          <w:tcPr>
            <w:tcW w:type="dxa" w:w="1700"/>
          </w:tcPr>
          <w:p>
            <w:r/>
            <w:r>
              <w:rPr>
                <w:rFonts w:ascii="Times New Roman" w:hAnsi="Times New Roman"/>
                <w:sz w:val="16"/>
              </w:rPr>
              <w:t>RESOLVED</w:t>
            </w:r>
          </w:p>
        </w:tc>
      </w:tr>
      <w:tr>
        <w:tc>
          <w:tcPr>
            <w:tcW w:type="dxa" w:w="520"/>
          </w:tcPr>
          <w:p>
            <w:r/>
            <w:r>
              <w:rPr>
                <w:rFonts w:ascii="Times New Roman" w:hAnsi="Times New Roman"/>
                <w:sz w:val="16"/>
              </w:rPr>
              <w:t>R37</w:t>
            </w:r>
          </w:p>
        </w:tc>
        <w:tc>
          <w:tcPr>
            <w:tcW w:type="dxa" w:w="1000"/>
          </w:tcPr>
          <w:p>
            <w:r/>
            <w:r>
              <w:rPr>
                <w:rFonts w:ascii="Times New Roman" w:hAnsi="Times New Roman"/>
                <w:sz w:val="16"/>
              </w:rPr>
              <w:t>Required action</w:t>
            </w:r>
          </w:p>
        </w:tc>
        <w:tc>
          <w:tcPr>
            <w:tcW w:type="dxa" w:w="3200"/>
          </w:tcPr>
          <w:p>
            <w:r/>
            <w:r>
              <w:rPr>
                <w:rFonts w:ascii="Times New Roman" w:hAnsi="Times New Roman"/>
                <w:sz w:val="16"/>
              </w:rPr>
              <w:t>Restore the missing equation symbols and add a Discussion with limitations.</w:t>
            </w:r>
          </w:p>
        </w:tc>
        <w:tc>
          <w:tcPr>
            <w:tcW w:type="dxa" w:w="4200"/>
          </w:tcPr>
          <w:p>
            <w:r/>
            <w:r>
              <w:rPr>
                <w:rFonts w:ascii="Times New Roman" w:hAnsi="Times New Roman"/>
                <w:sz w:val="16"/>
              </w:rPr>
              <w:t>Symbols restored as plain text throughout the methodology, metric definitions and algorithm (R23); Discussion and Limitations subsections added (R25).</w:t>
            </w:r>
          </w:p>
        </w:tc>
        <w:tc>
          <w:tcPr>
            <w:tcW w:type="dxa" w:w="1500"/>
          </w:tcPr>
          <w:p>
            <w:r/>
            <w:r>
              <w:rPr>
                <w:rFonts w:ascii="Times New Roman" w:hAnsi="Times New Roman"/>
                <w:sz w:val="16"/>
              </w:rPr>
              <w:t>3.4-3.9; 4.2; Algorithm 1; new 4.15; new 4.16</w:t>
            </w:r>
          </w:p>
        </w:tc>
        <w:tc>
          <w:tcPr>
            <w:tcW w:type="dxa" w:w="1800"/>
          </w:tcPr>
          <w:p>
            <w:r/>
            <w:r>
              <w:rPr>
                <w:rFonts w:ascii="Times New Roman" w:hAnsi="Times New Roman"/>
                <w:sz w:val="16"/>
              </w:rPr>
              <w:t>Original manuscript; all supplied result files</w:t>
            </w:r>
          </w:p>
        </w:tc>
        <w:tc>
          <w:tcPr>
            <w:tcW w:type="dxa" w:w="1700"/>
          </w:tcPr>
          <w:p>
            <w:r/>
            <w:r>
              <w:rPr>
                <w:rFonts w:ascii="Times New Roman" w:hAnsi="Times New Roman"/>
                <w:sz w:val="16"/>
              </w:rPr>
              <w:t>RESOLVED</w:t>
            </w:r>
          </w:p>
        </w:tc>
      </w:tr>
    </w:tbl>
    <w:p/>
    <w:p>
      <w:r>
        <w:rPr>
          <w:rFonts w:ascii="Times New Roman" w:hAnsi="Times New Roman"/>
          <w:b/>
          <w:sz w:val="24"/>
        </w:rPr>
        <w:t>Summary of statuses</w:t>
      </w:r>
    </w:p>
    <w:p>
      <w:pPr>
        <w:jc w:val="both"/>
      </w:pPr>
      <w:r>
        <w:rPr>
          <w:rFonts w:ascii="Times New Roman" w:hAnsi="Times New Roman"/>
          <w:sz w:val="22"/>
        </w:rPr>
        <w:t>PARTIALLY RESOLVED: 7; REQUIRES HUMAN ACTION: 2; RESOLVED: 20 (total comments addressed: 29).</w:t>
      </w:r>
    </w:p>
    <w:p>
      <w:r>
        <w:rPr>
          <w:rFonts w:ascii="Times New Roman" w:hAnsi="Times New Roman"/>
          <w:b/>
          <w:sz w:val="24"/>
        </w:rPr>
        <w:t>Items that require author action before submission</w:t>
      </w:r>
    </w:p>
    <w:p>
      <w:pPr>
        <w:jc w:val="both"/>
      </w:pPr>
      <w:r>
        <w:rPr>
          <w:rFonts w:ascii="Times New Roman" w:hAnsi="Times New Roman"/>
          <w:sz w:val="22"/>
        </w:rPr>
        <w:t>• R10 / R27: confirm the OCEAN-Chat dataset identifier and permanent URL, and decide whether the target journal requires author-date citations.</w:t>
      </w:r>
    </w:p>
    <w:p>
      <w:pPr>
        <w:jc w:val="both"/>
      </w:pPr>
      <w:r>
        <w:rPr>
          <w:rFonts w:ascii="Times New Roman" w:hAnsi="Times New Roman"/>
          <w:sz w:val="22"/>
        </w:rPr>
        <w:t>• R14: insert the exact coarse and fine chunk counts from the pipeline's chunk-granularity statistics output, replacing the UNVERIFIED markers in Table 2, Table 6 and Section 3.2.5.</w:t>
      </w:r>
    </w:p>
    <w:p>
      <w:pPr>
        <w:jc w:val="both"/>
      </w:pPr>
      <w:r>
        <w:rPr>
          <w:rFonts w:ascii="Times New Roman" w:hAnsi="Times New Roman"/>
          <w:sz w:val="22"/>
        </w:rPr>
        <w:t>• R18 / R32: run the remaining paired tests and the length-controlled contrasts and replace the PENDING notes in Sections 4.10 and 4.12.</w:t>
      </w:r>
    </w:p>
    <w:p>
      <w:pPr>
        <w:jc w:val="both"/>
      </w:pPr>
      <w:r>
        <w:rPr>
          <w:rFonts w:ascii="Times New Roman" w:hAnsi="Times New Roman"/>
          <w:sz w:val="22"/>
        </w:rPr>
        <w:t>• R34: complete the blinded human annotation (and, if possible, clinician ratings), then add the results and agreement statistics to Section 4.14.</w:t>
      </w:r>
    </w:p>
    <w:p>
      <w:pPr>
        <w:jc w:val="both"/>
      </w:pPr>
      <w:r>
        <w:rPr>
          <w:rFonts w:ascii="Times New Roman" w:hAnsi="Times New Roman"/>
          <w:sz w:val="22"/>
        </w:rPr>
        <w:t>• Figure 6: regenerate the topic-level defect heatmap from the revised per-response output; the figure currently carries a PENDING note.</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