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24"/>
        </w:rPr>
        <w:t>SymptoGraph-LLM: A Symptom-Grounded, Comorbidity-Aware Deep Learning Framework for Interpretable Multi-Task Mental Health Assessment from Social Media Text Under Calibrated Large Language Model Weak Supervision</w:t>
      </w:r>
    </w:p>
    <w:p>
      <w:pPr>
        <w:jc w:val="both"/>
      </w:pPr>
      <w:r>
        <w:rPr>
          <w:rFonts w:ascii="Times New Roman" w:hAnsi="Times New Roman"/>
          <w:b/>
          <w:sz w:val="24"/>
        </w:rPr>
        <w:t>Abstract</w:t>
      </w:r>
    </w:p>
    <w:p>
      <w:pPr>
        <w:jc w:val="both"/>
      </w:pPr>
      <w:r>
        <w:rPr>
          <w:rFonts w:ascii="Times New Roman" w:hAnsi="Times New Roman"/>
          <w:b w:val="0"/>
          <w:sz w:val="24"/>
        </w:rPr>
        <w:t>Detecting mental-health risk from social media text is a necessary step towards scalable screening, yet the models that currently perform the task are difficult for a clinician to audit. Although symptom-level annotation has been shown to improve the trust that health professionals place in automated decisions, existing approaches suffer from a number of severe shortcomings. Notably, they predict a single disorder label rather than the clinical symptoms a practitioner reasons with, they treat co-occurring conditions as independent problems despite repeatedly demonstrating that comorbidity is the norm, they estimate ordinal severity with unconstrained classifiers that discard the additive scoring rule by which the instruments are defined, they consume large language model pseudo-labels as if those labels were certain, and they report accuracy on corpora whose overlapping provenance leaks training material into test sets. Therefore, in our research we introduce a novel deep learning approach, called SymptoGraph-LLM, designed to address the task of interpretable, comorbidity-aware mental-health assessment from user-generated text. First, the introduced SymptoGraph-LLM suggests a clinical concept bottleneck in which twenty-two symptom queries are initialised from the sentence embeddings of their own clinical definitions and every downstream prediction is forced through the resulting concept vector, so that no disorder-level output can bypass the symptoms that justify it. Then a symptom-disorder comorbidity graph propagates evidence along a DSM-5 prior corrected by a learned, sparsity-penalised residual, allowing the conditional dependence between conditions to be modelled rather than merely diagnosed. Afterward, an instrument-grounded monotone ordinal head maps the concept vector onto a bounded latent distress trait through non-negative item weights and a cumulative-link model with strictly ordered cutpoints, reproducing the additive structure by which PHQ-9 severity is defined and reducing the suicide-risk task to four threshold parameters. Finally, calibrated weak supervision from a locally executed large language model is corrected by a per-symptom noise channel estimated against gold labels, so that systematic labeller bias is inverted instead of being rescaled by a single confidence temperature, while a global post identifier, author-disjoint partitioning and a strictest-split-wins rule ensure that no post and no author crosses a split boundary across seven overlapping corpora. The framework is validated using 19,762 gold-labelled posts drawn from seven public corpora, together with a pool of 1,017,959 unlabelled posts of which 49,982 receive calibrated weak labels, and is compared against three baselines and three architectures re-implemented from the recent literature under one identical protocol, as well as five component-wise ablations and three isolating controls. The experimental validation reports X.XXX symptom macro-AUROC, X.XXX symptom macro-F1, X.XXX stress AUROC, X.XXX depression-severity quadratic weighted kappa and X.XXX suicide-risk quadratic weighted kappa, exceeding the strongest comparison model by X.XXX absolute symptom macro-AUROC while using X.XXX times fewer parameters. Additionally, a paired bootstrap over resampled test examples, reported alongside per-task confidence intervals, establishes that X.XXX of the component-wise differences are distinguishable from seed and sampling noise, and identifies the concept bottleneck and the monotone ordinal head as the components with a measurable effect, whereas the suicide-risk task is shown to carry a confidence interval wider than any architectural difference it could resolve.</w:t>
      </w:r>
    </w:p>
    <w:p>
      <w:pPr>
        <w:jc w:val="both"/>
      </w:pPr>
      <w:r>
        <w:rPr>
          <w:rFonts w:ascii="Times New Roman" w:hAnsi="Times New Roman"/>
          <w:b/>
          <w:sz w:val="24"/>
        </w:rPr>
        <w:t>Keywords</w:t>
      </w:r>
    </w:p>
    <w:p>
      <w:pPr>
        <w:jc w:val="both"/>
      </w:pPr>
      <w:r>
        <w:rPr>
          <w:rFonts w:ascii="Times New Roman" w:hAnsi="Times New Roman"/>
          <w:b w:val="0"/>
          <w:sz w:val="24"/>
        </w:rPr>
        <w:t>Mental Health Detection, Social Media, Concept Bottleneck Models, Clinical Symptom Identification, Comorbidity Graph, Large Language Model Weak Supervision, Label Noise Correction, Ordinal Regression, Interpretable Machine Learning, PHQ-9 and GAD-7.</w:t>
      </w:r>
    </w:p>
    <w:p>
      <w:pPr>
        <w:jc w:val="both"/>
      </w:pPr>
      <w:r>
        <w:rPr>
          <w:rFonts w:ascii="Times New Roman" w:hAnsi="Times New Roman"/>
          <w:b w:val="0"/>
          <w:sz w:val="24"/>
        </w:rPr>
      </w:r>
    </w:p>
    <w:p>
      <w:pPr>
        <w:jc w:val="both"/>
      </w:pPr>
      <w:r>
        <w:rPr>
          <w:rFonts w:ascii="Times New Roman" w:hAnsi="Times New Roman"/>
          <w:b/>
          <w:sz w:val="24"/>
        </w:rPr>
        <w:t>1. Introduction</w:t>
      </w:r>
    </w:p>
    <w:p>
      <w:pPr>
        <w:jc w:val="both"/>
      </w:pPr>
      <w:r>
        <w:rPr>
          <w:rFonts w:ascii="Times New Roman" w:hAnsi="Times New Roman"/>
          <w:b w:val="0"/>
          <w:sz w:val="24"/>
        </w:rPr>
        <w:t>Mental-health disorders account for a substantial and growing share of global disease burden, while the clinical capacity available to identify them remains far below the level required. Social platforms have become spaces in which individuals describe their psychological state in unusual detail, and those descriptions contain traces of clinically meaningful symptoms. The importance of such traces increases even more when the goal moves from retrospective description of a population to the production of an assessment that a practitioner could act upon, because an output that cannot be inspected cannot be acted upon responsibly in a clinical setting. Automated screening is therefore constrained less by raw predictive accuracy than by whether the quantity being predicted is one that a clinician recognises, and by whether the evidence supporting it can be traced back to the text.</w:t>
      </w:r>
    </w:p>
    <w:p>
      <w:pPr>
        <w:jc w:val="both"/>
      </w:pPr>
      <w:r>
        <w:rPr>
          <w:rFonts w:ascii="Times New Roman" w:hAnsi="Times New Roman"/>
          <w:b w:val="0"/>
          <w:sz w:val="24"/>
        </w:rPr>
        <w:t>Large language models and transformer encoders have recently been central to this area. Xu et al. [1] evaluate large language models for mental-health prediction from online text, establishing both that instruction tuning improves performance on these tasks and that zero-shot prompting alone remains below supervised alternatives. Shah et al. [2] advance depression detection on social platforms through fine-tuned large language models, and Liu et al. [3] propose DepGLM for recognising depression degree, demonstrating that the ordinal structure of severity can be learned rather than thresholded. However, each of these formulations predicts a disorder-level label or degree directly from text, so the clinical symptoms that would justify the prediction are never represented explicitly and cannot be inspected. There is a gap in architectures that make the symptom layer an obligatory intermediate representation rather than a post-hoc explanation.</w:t>
      </w:r>
    </w:p>
    <w:p>
      <w:pPr>
        <w:jc w:val="both"/>
      </w:pPr>
      <w:r>
        <w:rPr>
          <w:rFonts w:ascii="Times New Roman" w:hAnsi="Times New Roman"/>
          <w:b w:val="0"/>
          <w:sz w:val="24"/>
        </w:rPr>
        <w:t>A second strand addresses suicide risk specifically. Qorich and El Ouazzani [5] combine deep learning with large language models for suicide-ideation detection, Bauer et al. [6] use large language models to analyse suicidality within a social-media-derived taxonomy of mental-health disorders, and Lee et al. [7] compare large language models against expert clinicians for crisis prediction, reporting that model and clinician judgements diverge in instructive ways. McCoy and Perlis [8] stratify suicide risk from narrative clinical notes, and Xie et al. [9] introduce retrieval augmentation for depression screening and suicide-risk stratification. These works establish that graded risk is learnable from text. Nevertheless, risk is modelled independently of the depressive and anxious symptomatology that clinically precedes it, and the ordinal scales are treated as unordered categories by the loss functions used. There is a gap in estimators that share statistical strength between a data-rich severity task and a data-poor risk task through a common latent construct.</w:t>
      </w:r>
    </w:p>
    <w:p>
      <w:pPr>
        <w:jc w:val="both"/>
      </w:pPr>
      <w:r>
        <w:rPr>
          <w:rFonts w:ascii="Times New Roman" w:hAnsi="Times New Roman"/>
          <w:b w:val="0"/>
          <w:sz w:val="24"/>
        </w:rPr>
        <w:t>Interpretability has been pursued through symptom marking and through graph structure. Bao et al. [10] propose transformer architectures that both detect and explain depressive symptom markers in user-generated text, producing natural-language explanations aligned with validated symptoms. Suksam et al. [11] perform symptom-level classification with transformer ensembles before aggregating towards DSM-5-oriented screening, and Garg [12] extracts wellness concepts from Reddit posts. In parallel, Chen et al. [16] build a heterogeneous subgraph network with prompt learning for interpretable depression detection, Jain et al. [17] propose CDME-GAT using multiple embeddings and graph attention, and Rehman et al. [18] combine deep learning with graph neural networks over a graph estimated from post semantics and author relations. Tahir et al. [19] and Gao et al. [20] construct knowledge graphs, the former ontology-guided and coupled to a retrieval-augmented language model. However, the graphs in these works connect posts or users rather than clinical constructs, so comorbidity between conditions is not an object the model reasons over. There is a gap in propagating evidence over a graph whose nodes are symptoms and disorders.</w:t>
      </w:r>
    </w:p>
    <w:p>
      <w:pPr>
        <w:jc w:val="both"/>
      </w:pPr>
      <w:r>
        <w:rPr>
          <w:rFonts w:ascii="Times New Roman" w:hAnsi="Times New Roman"/>
          <w:b w:val="0"/>
          <w:sz w:val="24"/>
        </w:rPr>
        <w:t>A final strand concerns supervision itself. Hsu and Roberts [23] show that large language models can supply knowledge-free weak supervision for clinical natural language processing, and Hsieh et al. [21] combine prompt ensembling with auxiliary self-supervision for multi-label classification. Khowaja et al. [22] use emotion-aware encoders with contrastive objectives, and Khalil et al. [24] address privacy through federated learning. Systematic reviews by Guo et al. [25], Omar et al. [26], Volkmer et al. [27], Levkovich and Omar [28] and Bucher et al. [30] converge on the same two cautions: that reported performance is frequently not comparable across studies, and that evaluation rarely accounts for the provenance of the corpora used. Jin et al. [29] respond with PsyEval, a benchmark for mental-health evaluation. Nevertheless, weak labels are typically consumed as if they were certain, and the systematic per-symptom bias of the labelling model is not estimated, so the noise it introduces propagates into the trained classifier. There is a gap in treating the labelling model as a measurable noise channel whose inverse can be applied during training.</w:t>
      </w:r>
    </w:p>
    <w:p>
      <w:pPr>
        <w:jc w:val="both"/>
      </w:pPr>
      <w:r>
        <w:rPr>
          <w:rFonts w:ascii="Times New Roman" w:hAnsi="Times New Roman"/>
          <w:b w:val="0"/>
          <w:sz w:val="24"/>
        </w:rPr>
        <w:t>Despite significant recent advances in text-based mental-health assessment, several open research questions therefore remain. Research in this area is fragmented between disorder classification, symptom marking, graph-based modelling, weak supervision and benchmark construction, while no work unites these components into a single framework in which the symptom layer is obligatory, comorbidity is modelled, ordinal severity respects the additive rule of the instrument that defines it, and weak supervision is corrected rather than trusted. While existing works mainly optimise a single prediction objective, a clinically usable system should expose which symptoms drove its output and how confident the underlying evidence was. Furthermore, the corpora used in this field overlap substantially in provenance, and that overlap is almost never controlled, so it is unclear what part of a reported score reflects genuine generalisation. To address these gaps, we propose SymptoGraph-LLM, a symptom-grounded and comorbidity-aware framework for interpretable mental-health assessment. The proposed framework transforms disorder classification into a constrained, symptom-mediated estimation problem, in which the model learns which clinical symptoms a post evidences, how those symptoms co-occur, how they accumulate into graded severity and risk, and how much of the remaining disagreement is attributable to label noise rather than to the model.</w:t>
      </w:r>
    </w:p>
    <w:p>
      <w:pPr>
        <w:jc w:val="both"/>
      </w:pPr>
      <w:r>
        <w:rPr>
          <w:rFonts w:ascii="Times New Roman" w:hAnsi="Times New Roman"/>
          <w:b w:val="0"/>
          <w:sz w:val="24"/>
        </w:rPr>
        <w:t>The major contributions of this research are summarised as follows:</w:t>
      </w:r>
    </w:p>
    <w:p>
      <w:pPr>
        <w:pStyle w:val="ListBullet"/>
        <w:jc w:val="both"/>
      </w:pPr>
      <w:r>
        <w:rPr>
          <w:rFonts w:ascii="Times New Roman" w:hAnsi="Times New Roman"/>
          <w:b w:val="0"/>
          <w:sz w:val="24"/>
        </w:rPr>
        <w:t>A Clinical Concept Bottleneck with definition-initialised symptom attention is introduced, in which each of the twenty-two symptom queries is initialised from the sentence embedding of its own clinical definition and carries an independent scoring vector, and in which every severity, risk and stress prediction is read from a concept-gated summary of the attended evidence, so that the model reasons about clinically named symptoms rather than producing a disorder label and an explanation after the fact.</w:t>
      </w:r>
    </w:p>
    <w:p>
      <w:pPr>
        <w:pStyle w:val="ListBullet"/>
        <w:jc w:val="both"/>
      </w:pPr>
      <w:r>
        <w:rPr>
          <w:rFonts w:ascii="Times New Roman" w:hAnsi="Times New Roman"/>
          <w:b w:val="0"/>
          <w:sz w:val="24"/>
        </w:rPr>
        <w:t>A Symptom-Disorder Comorbidity Graph is developed in which a DSM-5 derived prior adjacency is corrected by a learned residual under an L1 penalty, and in which disorder-disorder edges are estimated as conditional co-membership probabilities rather than pointwise mutual information, so that comorbid structure is propagated through the estimator instead of being reported as a property of the dataset.</w:t>
      </w:r>
    </w:p>
    <w:p>
      <w:pPr>
        <w:pStyle w:val="ListBullet"/>
        <w:jc w:val="both"/>
      </w:pPr>
      <w:r>
        <w:rPr>
          <w:rFonts w:ascii="Times New Roman" w:hAnsi="Times New Roman"/>
          <w:b w:val="0"/>
          <w:sz w:val="24"/>
        </w:rPr>
        <w:t>An Instrument-Grounded Monotone Ordinal Head is proposed, which maps the concept vector onto a latent distress trait through non-negative item weights and predicts each ordinal task by a cumulative-link model with strictly ordered cutpoints, reproducing the additive scoring rule by which PHQ-9 severity bands are defined, guaranteeing monotonicity in symptom presence by construction, and reducing the suicide-risk task to four threshold parameters so that it can borrow strength from the far larger severity task.</w:t>
      </w:r>
    </w:p>
    <w:p>
      <w:pPr>
        <w:pStyle w:val="ListBullet"/>
        <w:jc w:val="both"/>
      </w:pPr>
      <w:r>
        <w:rPr>
          <w:rFonts w:ascii="Times New Roman" w:hAnsi="Times New Roman"/>
          <w:b w:val="0"/>
          <w:sz w:val="24"/>
        </w:rPr>
        <w:t>A Calibrated Weak Supervision scheme with a Per-Symptom Noise Channel is introduced, in which a locally executed instruction-tuned large language model labels the symptoms that no public corpus annotates, its verbalised confidence is temperature-calibrated against gold agreement, and its per-symptom true-positive and false-positive rates are estimated and inverted during training through a forward correction, so that systematic over-calling of a symptom is discounted rather than learned.</w:t>
      </w:r>
    </w:p>
    <w:p>
      <w:pPr>
        <w:pStyle w:val="ListBullet"/>
        <w:jc w:val="both"/>
      </w:pPr>
      <w:r>
        <w:rPr>
          <w:rFonts w:ascii="Times New Roman" w:hAnsi="Times New Roman"/>
          <w:b w:val="0"/>
          <w:sz w:val="24"/>
        </w:rPr>
        <w:t>A Leakage-Controlled Multi-Corpus Protocol and Significance-Audited Evaluation are introduced, combining a global post identifier over a normalised text prefix, author-disjoint partitioning, a strictest-split-wins rule across seven corpora with measured mutual overlap, validation-loss checkpoint selection, three-seed replication, per-task bootstrap confidence intervals and paired bootstrap tests on resampled test examples, thereby ensuring that reported differences are neither leaked nor artefacts of run-to-run variability.</w:t>
      </w:r>
    </w:p>
    <w:p>
      <w:pPr>
        <w:jc w:val="both"/>
      </w:pPr>
      <w:r>
        <w:rPr>
          <w:rFonts w:ascii="Times New Roman" w:hAnsi="Times New Roman"/>
          <w:b/>
          <w:sz w:val="24"/>
        </w:rPr>
        <w:t>2. Literature Survey</w:t>
      </w:r>
    </w:p>
    <w:p>
      <w:pPr>
        <w:jc w:val="both"/>
      </w:pPr>
      <w:r>
        <w:rPr>
          <w:rFonts w:ascii="Times New Roman" w:hAnsi="Times New Roman"/>
          <w:b w:val="0"/>
          <w:sz w:val="24"/>
        </w:rPr>
        <w:t>Current advances in the area of text-based mental-health assessment can be summarised in the following major trends: disorder-level classification with pretrained and instruction-tuned language models, symptom-level and concept-level interpretable detection, graph-based and knowledge-graph-based modelling, weak and self-supervised supervision from large language models, and benchmark and review work concerned with comparability. Among these research streams there have been several studies on depression detection, suicide-risk stratification, severity estimation and multi-label mental-health classification from Reddit and comparable platforms, some focused on explanation quality and some on architectural fusion. However, these streams remain largely separate, and the following review considers each in turn with attention to what it establishes and what it leaves open.</w:t>
      </w:r>
    </w:p>
    <w:p>
      <w:pPr>
        <w:jc w:val="both"/>
      </w:pPr>
      <w:r>
        <w:rPr>
          <w:rFonts w:ascii="Times New Roman" w:hAnsi="Times New Roman"/>
          <w:b w:val="0"/>
          <w:sz w:val="24"/>
        </w:rPr>
        <w:t>Xu et al. [1] conduct a systematic evaluation of large language models for mental-health prediction from online text, comparing zero-shot, few-shot and instruction-tuned regimes across several tasks. The study confirms that instruction tuning on in-domain data recovers a large part of the gap to supervised encoders and that prompting alone is insufficient. However, the prediction target throughout is a disorder-level label, so the clinical symptoms that would support the decision are not represented, and the evaluation inherits the provenance of the source corpora without controlling for overlap between them. There is a gap in symptom-mediated prediction evaluated under explicit leakage control. Shah et al. [2] fine-tune large language models for depression detection and report consistent gains over encoder baselines, confirming that scale helps on this task, but the model remains a binary classifier whose decision cannot be attributed to clinical criteria.</w:t>
      </w:r>
    </w:p>
    <w:p>
      <w:pPr>
        <w:jc w:val="both"/>
      </w:pPr>
      <w:r>
        <w:rPr>
          <w:rFonts w:ascii="Times New Roman" w:hAnsi="Times New Roman"/>
          <w:b w:val="0"/>
          <w:sz w:val="24"/>
        </w:rPr>
        <w:t>Liu et al. [3] propose DepGLM for depression-degree recognition, treating severity as the prediction target rather than presence alone. The work is notable because it acknowledges that severity is graded and that a binary decision discards clinically relevant information. Nevertheless, the degrees are predicted by an unconstrained classifier head, so the ordering between adjacent degrees is not enforced and the additive rule by which the underlying instrument defines its bands is discarded. There is a gap in ordinal estimators whose structure reproduces the scoring rule of the instrument. Abdullah and Negied [4] combine machine learning, ensemble learning and large language models to predict future mental disorder from social-media data, demonstrating that ensembling stabilises predictions, but the ensemble is over classifiers of the same disorder-level target and does not introduce an interpretable intermediate layer.</w:t>
      </w:r>
    </w:p>
    <w:p>
      <w:pPr>
        <w:jc w:val="both"/>
      </w:pPr>
      <w:r>
        <w:rPr>
          <w:rFonts w:ascii="Times New Roman" w:hAnsi="Times New Roman"/>
          <w:b w:val="0"/>
          <w:sz w:val="24"/>
        </w:rPr>
        <w:t>Qorich and El Ouazzani [5] apply advanced deep learning and large language models to suicide-ideation detection, and Bauer et al. [6] analyse suicidality linguistically within a social-media-derived taxonomy of mental-health disorders, establishing that the linguistic signature of risk is distinguishable from that of general distress. Lee et al. [7] compare large language models against expert clinicians for crisis prediction among telemental-health patients, which is among the most clinically grounded evaluations available, and report that agreement is partial. However, these works model risk in isolation from the depressive and anxious symptomatology that clinically precedes it, so no statistical strength is shared between a scarce risk target and the far more abundant symptom annotations. There is a gap in multi-task estimators that couple risk to symptoms through a shared latent construct.</w:t>
      </w:r>
    </w:p>
    <w:p>
      <w:pPr>
        <w:jc w:val="both"/>
      </w:pPr>
      <w:r>
        <w:rPr>
          <w:rFonts w:ascii="Times New Roman" w:hAnsi="Times New Roman"/>
          <w:b w:val="0"/>
          <w:sz w:val="24"/>
        </w:rPr>
        <w:t>McCoy and Perlis [8] stratify suicide risk from narrative clinical notes using large language models, demonstrating transfer of the approach into a clinical-record setting where the text is produced by professionals rather than patients. Xie et al. [9] introduce retrieval-augmented large language models for depression screening and suicide-risk stratification, showing that grounding generation in retrieved material improves reliability. Nevertheless, in both cases the output is a stratification without an auditable intermediate representation, and retrieval grounds the generation rather than constraining the prediction. There is a gap in constraining the prediction itself to pass through clinically named concepts.</w:t>
      </w:r>
    </w:p>
    <w:p>
      <w:pPr>
        <w:jc w:val="both"/>
      </w:pPr>
      <w:r>
        <w:rPr>
          <w:rFonts w:ascii="Times New Roman" w:hAnsi="Times New Roman"/>
          <w:b w:val="0"/>
          <w:sz w:val="24"/>
        </w:rPr>
        <w:t>Bao et al. [10] introduce transformer architectures that detect and explain the appearance of depressive symptom markers in user-generated content, presenting both a separated classify-then-explain design and a unified model, and evaluating explanation quality with offline and expert-in-the-loop metrics. This work is directly relevant because it establishes that symptom markers improve the trust health professionals place in automated decisions. However, the symptom layer serves as an explanation accompanying a decision rather than as a bottleneck the decision must pass through, so nothing prevents the classifier from relying on evidence the explanation does not mention. There is a gap in architectures where the symptom representation is obligatory rather than concomitant.</w:t>
      </w:r>
    </w:p>
    <w:p>
      <w:pPr>
        <w:jc w:val="both"/>
      </w:pPr>
      <w:r>
        <w:rPr>
          <w:rFonts w:ascii="Times New Roman" w:hAnsi="Times New Roman"/>
          <w:b w:val="0"/>
          <w:sz w:val="24"/>
        </w:rPr>
        <w:t>Suksam et al. [11] propose transformer-based ensemble learning for symptom-level classification followed by DSM-5-oriented depression screening, aggregating predicted symptoms over an observation window. The two-phase design is valuable because it makes the symptom layer the primary learning target and derives the screening decision from it. Nevertheless, the aggregation from symptoms to screening is a fixed rule applied after classification rather than a learned, bounded response, and the ensemble members are independent classifiers that share no clinical structure. There is a gap in learning the symptom-to-severity mapping as a constrained, monotone function. Garg [12] extracts and classifies wellness concepts in Reddit posts, establishing concept extraction as a viable intermediate task, but the concepts are not tied to a diagnostic instrument.</w:t>
      </w:r>
    </w:p>
    <w:p>
      <w:pPr>
        <w:jc w:val="both"/>
      </w:pPr>
      <w:r>
        <w:rPr>
          <w:rFonts w:ascii="Times New Roman" w:hAnsi="Times New Roman"/>
          <w:b w:val="0"/>
          <w:sz w:val="24"/>
        </w:rPr>
        <w:t>Zhang et al. [13] propose a knowledge-aware deep learning approach to depression detection using digital traces, incorporating external knowledge into the representation. Qasim et al. [14] detect depression severity with transformer-based models, and Kerasiotis et al. [15] combine transformer encoders with auxiliary handcrafted features, showing that linguistic features remain complementary to learned representations. However, the external knowledge in these works conditions the input representation rather than structuring the output space, so dependence between the predicted conditions is not represented. There is a gap in modelling dependence among the predicted clinical constructs themselves.</w:t>
      </w:r>
    </w:p>
    <w:p>
      <w:pPr>
        <w:jc w:val="both"/>
      </w:pPr>
      <w:r>
        <w:rPr>
          <w:rFonts w:ascii="Times New Roman" w:hAnsi="Times New Roman"/>
          <w:b w:val="0"/>
          <w:sz w:val="24"/>
        </w:rPr>
        <w:t>Chen et al. [16] construct a heterogeneous subgraph network with prompt learning for interpretable depression detection, and Jain et al. [17] propose CDME-GAT, which fuses multiple embeddings with graph attention over a constructed context graph. Rehman et al. [18] predict both depression and suicide risk using deep learning and graph neural networks over a graph estimated from semantic similarity between posts together with author relations, rather than from social interactions, and add post-hoc attribution and calibration analysis. These works establish that graph structure improves both accuracy and interpretability. Nevertheless, the nodes of these graphs are posts or users, so the structure encodes who resembles whom rather than which clinical conditions co-occur, and comorbidity remains outside the model. There is a gap in graphs whose nodes are symptoms and disorders and whose edges carry clinical prior information.</w:t>
      </w:r>
    </w:p>
    <w:p>
      <w:pPr>
        <w:jc w:val="both"/>
      </w:pPr>
      <w:r>
        <w:rPr>
          <w:rFonts w:ascii="Times New Roman" w:hAnsi="Times New Roman"/>
          <w:b w:val="0"/>
          <w:sz w:val="24"/>
        </w:rPr>
        <w:t>Tahir et al. [19] present an ontology-guided knowledge graph coupled with a retrieval-augmented large language model framework for interpretable mental-health assessment, and Gao et al. [20] use large language models to construct knowledge graphs for mental-health exploration. Both demonstrate that clinical ontologies can be brought into the modelling pipeline. However, the knowledge graph is used to retrieve or to organise evidence for a generative model rather than to define a differentiable adjacency over which symptom evidence propagates during training, and neither reports a control establishing that the ontology-derived structure outperforms a randomised graph of equal density. There is a gap in differentiable clinical graphs evaluated against a random-structure control.</w:t>
      </w:r>
    </w:p>
    <w:p>
      <w:pPr>
        <w:jc w:val="both"/>
      </w:pPr>
      <w:r>
        <w:rPr>
          <w:rFonts w:ascii="Times New Roman" w:hAnsi="Times New Roman"/>
          <w:b w:val="0"/>
          <w:sz w:val="24"/>
        </w:rPr>
        <w:t>Hsieh et al. [21] address multi-label mental-health classification with a multi-perspective prompt-design module and a perturbation-based self-supervised module on a pretrained backbone, which is among the closest formulations to the multi-label symptom setting considered here. Khowaja et al. [22] combine emotion-aware encoders with fuzzy-based contrastive networks. Nevertheless, the label space in these works consists of disorders rather than instrument items, so the multi-label structure does not correspond to a clinical scoring instrument and cannot be aggregated into graded severity. There is a gap in multi-label formulations whose labels are the items of a validated instrument.</w:t>
      </w:r>
    </w:p>
    <w:p>
      <w:pPr>
        <w:jc w:val="both"/>
      </w:pPr>
      <w:r>
        <w:rPr>
          <w:rFonts w:ascii="Times New Roman" w:hAnsi="Times New Roman"/>
          <w:b w:val="0"/>
          <w:sz w:val="24"/>
        </w:rPr>
        <w:t>Hsu and Roberts [23] demonstrate knowledge-free weak supervision from large language models for clinical natural language processing, establishing that model-generated labels can substitute for scarce expert annotation. This is the most directly relevant precedent for the weak-supervision component of the present work. However, the weak labels are consumed as if they were correct, and no per-class estimate of the labelling model's systematic bias is produced, so a class the labeller systematically over-calls transfers that bias into the trained classifier. There is a gap in estimating and inverting the labelling model's per-class noise channel. Khalil et al. [24] address a complementary concern, showing that federated training preserves privacy for multilingual depression detection, but do not address label reliability.</w:t>
      </w:r>
    </w:p>
    <w:p>
      <w:pPr>
        <w:jc w:val="both"/>
      </w:pPr>
      <w:r>
        <w:rPr>
          <w:rFonts w:ascii="Times New Roman" w:hAnsi="Times New Roman"/>
          <w:b w:val="0"/>
          <w:sz w:val="24"/>
        </w:rPr>
        <w:t>Finally, a body of review work converges on the methodological weaknesses of the field. Guo et al. [25], Omar et al. [26] and Bucher et al. [30] systematically review large language model applications to mental health and consistently report that evaluations are not comparable across studies, that corpus provenance is seldom examined, and that clinical validity is rarely established. Volkmer et al. [27] discuss the resulting opportunities and challenges in psychiatry, and Levkovich and Omar [28] compare encoder-based and generative models for suicide detection, finding that reported margins are frequently within the variability of the evaluation itself. Jin et al. [29] respond with PsyEval, a benchmark intended to standardise evaluation. Nevertheless, these reviews diagnose the problem without supplying a protocol that controls corpus overlap and reports significance, which is precisely what the present work adopts. There is a gap in primary studies that implement the controls the reviews call for.</w:t>
      </w:r>
    </w:p>
    <w:p>
      <w:pPr>
        <w:jc w:val="both"/>
      </w:pPr>
      <w:r>
        <w:rPr>
          <w:rFonts w:ascii="Times New Roman" w:hAnsi="Times New Roman"/>
          <w:b/>
          <w:sz w:val="24"/>
        </w:rPr>
        <w:t>Table 1. Comparison of the proposed SymptoGraph-LLM with existing mental-health detection and symptom-identification methods.</w:t>
      </w:r>
    </w:p>
    <w:tbl>
      <w:tblPr>
        <w:tblStyle w:val="TableGrid"/>
        <w:tblW w:type="auto" w:w="0"/>
        <w:tblLook w:firstColumn="1" w:firstRow="1" w:lastColumn="0" w:lastRow="0" w:noHBand="0" w:noVBand="1" w:val="04A0"/>
      </w:tblPr>
      <w:tblGrid>
        <w:gridCol w:w="1806"/>
        <w:gridCol w:w="1806"/>
        <w:gridCol w:w="1806"/>
        <w:gridCol w:w="1806"/>
        <w:gridCol w:w="1806"/>
      </w:tblGrid>
      <w:tr>
        <w:tc>
          <w:tcPr>
            <w:tcW w:type="dxa" w:w="792"/>
          </w:tcPr>
          <w:p>
            <w:r/>
            <w:r>
              <w:rPr>
                <w:rFonts w:ascii="Times New Roman" w:hAnsi="Times New Roman"/>
                <w:b/>
                <w:sz w:val="20"/>
              </w:rPr>
              <w:t>Ref.</w:t>
            </w:r>
          </w:p>
        </w:tc>
        <w:tc>
          <w:tcPr>
            <w:tcW w:type="dxa" w:w="1512"/>
          </w:tcPr>
          <w:p>
            <w:r/>
            <w:r>
              <w:rPr>
                <w:rFonts w:ascii="Times New Roman" w:hAnsi="Times New Roman"/>
                <w:b/>
                <w:sz w:val="20"/>
              </w:rPr>
              <w:t>Authors / Year</w:t>
            </w:r>
          </w:p>
        </w:tc>
        <w:tc>
          <w:tcPr>
            <w:tcW w:type="dxa" w:w="2232"/>
          </w:tcPr>
          <w:p>
            <w:r/>
            <w:r>
              <w:rPr>
                <w:rFonts w:ascii="Times New Roman" w:hAnsi="Times New Roman"/>
                <w:b/>
                <w:sz w:val="20"/>
              </w:rPr>
              <w:t>Method / Focus</w:t>
            </w:r>
          </w:p>
        </w:tc>
        <w:tc>
          <w:tcPr>
            <w:tcW w:type="dxa" w:w="2088"/>
          </w:tcPr>
          <w:p>
            <w:r/>
            <w:r>
              <w:rPr>
                <w:rFonts w:ascii="Times New Roman" w:hAnsi="Times New Roman"/>
                <w:b/>
                <w:sz w:val="20"/>
              </w:rPr>
              <w:t>Major Findings</w:t>
            </w:r>
          </w:p>
        </w:tc>
        <w:tc>
          <w:tcPr>
            <w:tcW w:type="dxa" w:w="2232"/>
          </w:tcPr>
          <w:p>
            <w:r/>
            <w:r>
              <w:rPr>
                <w:rFonts w:ascii="Times New Roman" w:hAnsi="Times New Roman"/>
                <w:b/>
                <w:sz w:val="20"/>
              </w:rPr>
              <w:t>Limitations / Research Gap</w:t>
            </w:r>
          </w:p>
        </w:tc>
      </w:tr>
      <w:tr>
        <w:tc>
          <w:tcPr>
            <w:tcW w:type="dxa" w:w="792"/>
          </w:tcPr>
          <w:p>
            <w:r/>
            <w:r>
              <w:rPr>
                <w:rFonts w:ascii="Times New Roman" w:hAnsi="Times New Roman"/>
                <w:b w:val="0"/>
                <w:sz w:val="20"/>
              </w:rPr>
              <w:t>[1]</w:t>
            </w:r>
          </w:p>
        </w:tc>
        <w:tc>
          <w:tcPr>
            <w:tcW w:type="dxa" w:w="1512"/>
          </w:tcPr>
          <w:p>
            <w:r/>
            <w:r>
              <w:rPr>
                <w:rFonts w:ascii="Times New Roman" w:hAnsi="Times New Roman"/>
                <w:b w:val="0"/>
                <w:sz w:val="20"/>
              </w:rPr>
              <w:t>Xu et al. (2024)</w:t>
            </w:r>
          </w:p>
        </w:tc>
        <w:tc>
          <w:tcPr>
            <w:tcW w:type="dxa" w:w="2232"/>
          </w:tcPr>
          <w:p>
            <w:r/>
            <w:r>
              <w:rPr>
                <w:rFonts w:ascii="Times New Roman" w:hAnsi="Times New Roman"/>
                <w:b w:val="0"/>
                <w:sz w:val="20"/>
              </w:rPr>
              <w:t>Mental-LLM; zero-shot, few-shot and instruction-tuned LLMs for mental-health prediction</w:t>
            </w:r>
          </w:p>
        </w:tc>
        <w:tc>
          <w:tcPr>
            <w:tcW w:type="dxa" w:w="2088"/>
          </w:tcPr>
          <w:p>
            <w:r/>
            <w:r>
              <w:rPr>
                <w:rFonts w:ascii="Times New Roman" w:hAnsi="Times New Roman"/>
                <w:b w:val="0"/>
                <w:sz w:val="20"/>
              </w:rPr>
              <w:t>Instruction tuning recovers much of the gap to supervised encoders; prompting alone is insufficient</w:t>
            </w:r>
          </w:p>
        </w:tc>
        <w:tc>
          <w:tcPr>
            <w:tcW w:type="dxa" w:w="2232"/>
          </w:tcPr>
          <w:p>
            <w:r/>
            <w:r>
              <w:rPr>
                <w:rFonts w:ascii="Times New Roman" w:hAnsi="Times New Roman"/>
                <w:b w:val="0"/>
                <w:sz w:val="20"/>
              </w:rPr>
              <w:t>Disorder-level target only; no symptom layer; corpus overlap not controlled</w:t>
            </w:r>
          </w:p>
        </w:tc>
      </w:tr>
      <w:tr>
        <w:tc>
          <w:tcPr>
            <w:tcW w:type="dxa" w:w="792"/>
          </w:tcPr>
          <w:p>
            <w:r/>
            <w:r>
              <w:rPr>
                <w:rFonts w:ascii="Times New Roman" w:hAnsi="Times New Roman"/>
                <w:b w:val="0"/>
                <w:sz w:val="20"/>
              </w:rPr>
              <w:t>[3]</w:t>
            </w:r>
          </w:p>
        </w:tc>
        <w:tc>
          <w:tcPr>
            <w:tcW w:type="dxa" w:w="1512"/>
          </w:tcPr>
          <w:p>
            <w:r/>
            <w:r>
              <w:rPr>
                <w:rFonts w:ascii="Times New Roman" w:hAnsi="Times New Roman"/>
                <w:b w:val="0"/>
                <w:sz w:val="20"/>
              </w:rPr>
              <w:t>Liu et al. (2025)</w:t>
            </w:r>
          </w:p>
        </w:tc>
        <w:tc>
          <w:tcPr>
            <w:tcW w:type="dxa" w:w="2232"/>
          </w:tcPr>
          <w:p>
            <w:r/>
            <w:r>
              <w:rPr>
                <w:rFonts w:ascii="Times New Roman" w:hAnsi="Times New Roman"/>
                <w:b w:val="0"/>
                <w:sz w:val="20"/>
              </w:rPr>
              <w:t>DepGLM; depression-degree recognition with LLMs</w:t>
            </w:r>
          </w:p>
        </w:tc>
        <w:tc>
          <w:tcPr>
            <w:tcW w:type="dxa" w:w="2088"/>
          </w:tcPr>
          <w:p>
            <w:r/>
            <w:r>
              <w:rPr>
                <w:rFonts w:ascii="Times New Roman" w:hAnsi="Times New Roman"/>
                <w:b w:val="0"/>
                <w:sz w:val="20"/>
              </w:rPr>
              <w:t>Graded severity is learnable from text and is more informative than binary labels</w:t>
            </w:r>
          </w:p>
        </w:tc>
        <w:tc>
          <w:tcPr>
            <w:tcW w:type="dxa" w:w="2232"/>
          </w:tcPr>
          <w:p>
            <w:r/>
            <w:r>
              <w:rPr>
                <w:rFonts w:ascii="Times New Roman" w:hAnsi="Times New Roman"/>
                <w:b w:val="0"/>
                <w:sz w:val="20"/>
              </w:rPr>
              <w:t>Unconstrained ordinal head; ordering not enforced; instrument scoring rule discarded</w:t>
            </w:r>
          </w:p>
        </w:tc>
      </w:tr>
      <w:tr>
        <w:tc>
          <w:tcPr>
            <w:tcW w:type="dxa" w:w="792"/>
          </w:tcPr>
          <w:p>
            <w:r/>
            <w:r>
              <w:rPr>
                <w:rFonts w:ascii="Times New Roman" w:hAnsi="Times New Roman"/>
                <w:b w:val="0"/>
                <w:sz w:val="20"/>
              </w:rPr>
              <w:t>[7]</w:t>
            </w:r>
          </w:p>
        </w:tc>
        <w:tc>
          <w:tcPr>
            <w:tcW w:type="dxa" w:w="1512"/>
          </w:tcPr>
          <w:p>
            <w:r/>
            <w:r>
              <w:rPr>
                <w:rFonts w:ascii="Times New Roman" w:hAnsi="Times New Roman"/>
                <w:b w:val="0"/>
                <w:sz w:val="20"/>
              </w:rPr>
              <w:t>Lee et al. (2024)</w:t>
            </w:r>
          </w:p>
        </w:tc>
        <w:tc>
          <w:tcPr>
            <w:tcW w:type="dxa" w:w="2232"/>
          </w:tcPr>
          <w:p>
            <w:r/>
            <w:r>
              <w:rPr>
                <w:rFonts w:ascii="Times New Roman" w:hAnsi="Times New Roman"/>
                <w:b w:val="0"/>
                <w:sz w:val="20"/>
              </w:rPr>
              <w:t>LLMs against expert clinicians for crisis prediction</w:t>
            </w:r>
          </w:p>
        </w:tc>
        <w:tc>
          <w:tcPr>
            <w:tcW w:type="dxa" w:w="2088"/>
          </w:tcPr>
          <w:p>
            <w:r/>
            <w:r>
              <w:rPr>
                <w:rFonts w:ascii="Times New Roman" w:hAnsi="Times New Roman"/>
                <w:b w:val="0"/>
                <w:sz w:val="20"/>
              </w:rPr>
              <w:t>Clinically grounded comparison; model and clinician judgements agree only partially</w:t>
            </w:r>
          </w:p>
        </w:tc>
        <w:tc>
          <w:tcPr>
            <w:tcW w:type="dxa" w:w="2232"/>
          </w:tcPr>
          <w:p>
            <w:r/>
            <w:r>
              <w:rPr>
                <w:rFonts w:ascii="Times New Roman" w:hAnsi="Times New Roman"/>
                <w:b w:val="0"/>
                <w:sz w:val="20"/>
              </w:rPr>
              <w:t>Risk modelled in isolation from symptomatology; no shared latent construct</w:t>
            </w:r>
          </w:p>
        </w:tc>
      </w:tr>
      <w:tr>
        <w:tc>
          <w:tcPr>
            <w:tcW w:type="dxa" w:w="792"/>
          </w:tcPr>
          <w:p>
            <w:r/>
            <w:r>
              <w:rPr>
                <w:rFonts w:ascii="Times New Roman" w:hAnsi="Times New Roman"/>
                <w:b w:val="0"/>
                <w:sz w:val="20"/>
              </w:rPr>
              <w:t>[9]</w:t>
            </w:r>
          </w:p>
        </w:tc>
        <w:tc>
          <w:tcPr>
            <w:tcW w:type="dxa" w:w="1512"/>
          </w:tcPr>
          <w:p>
            <w:r/>
            <w:r>
              <w:rPr>
                <w:rFonts w:ascii="Times New Roman" w:hAnsi="Times New Roman"/>
                <w:b w:val="0"/>
                <w:sz w:val="20"/>
              </w:rPr>
              <w:t>Xie et al. (2026)</w:t>
            </w:r>
          </w:p>
        </w:tc>
        <w:tc>
          <w:tcPr>
            <w:tcW w:type="dxa" w:w="2232"/>
          </w:tcPr>
          <w:p>
            <w:r/>
            <w:r>
              <w:rPr>
                <w:rFonts w:ascii="Times New Roman" w:hAnsi="Times New Roman"/>
                <w:b w:val="0"/>
                <w:sz w:val="20"/>
              </w:rPr>
              <w:t>Retrieval-augmented LLMs for depression screening and suicide-risk stratification</w:t>
            </w:r>
          </w:p>
        </w:tc>
        <w:tc>
          <w:tcPr>
            <w:tcW w:type="dxa" w:w="2088"/>
          </w:tcPr>
          <w:p>
            <w:r/>
            <w:r>
              <w:rPr>
                <w:rFonts w:ascii="Times New Roman" w:hAnsi="Times New Roman"/>
                <w:b w:val="0"/>
                <w:sz w:val="20"/>
              </w:rPr>
              <w:t>Grounding generation in retrieved material improves reliability</w:t>
            </w:r>
          </w:p>
        </w:tc>
        <w:tc>
          <w:tcPr>
            <w:tcW w:type="dxa" w:w="2232"/>
          </w:tcPr>
          <w:p>
            <w:r/>
            <w:r>
              <w:rPr>
                <w:rFonts w:ascii="Times New Roman" w:hAnsi="Times New Roman"/>
                <w:b w:val="0"/>
                <w:sz w:val="20"/>
              </w:rPr>
              <w:t>Retrieval grounds generation, not the prediction; no auditable intermediate representation</w:t>
            </w:r>
          </w:p>
        </w:tc>
      </w:tr>
      <w:tr>
        <w:tc>
          <w:tcPr>
            <w:tcW w:type="dxa" w:w="792"/>
          </w:tcPr>
          <w:p>
            <w:r/>
            <w:r>
              <w:rPr>
                <w:rFonts w:ascii="Times New Roman" w:hAnsi="Times New Roman"/>
                <w:b w:val="0"/>
                <w:sz w:val="20"/>
              </w:rPr>
              <w:t>[10]</w:t>
            </w:r>
          </w:p>
        </w:tc>
        <w:tc>
          <w:tcPr>
            <w:tcW w:type="dxa" w:w="1512"/>
          </w:tcPr>
          <w:p>
            <w:r/>
            <w:r>
              <w:rPr>
                <w:rFonts w:ascii="Times New Roman" w:hAnsi="Times New Roman"/>
                <w:b w:val="0"/>
                <w:sz w:val="20"/>
              </w:rPr>
              <w:t>Bao et al. (2024)</w:t>
            </w:r>
          </w:p>
        </w:tc>
        <w:tc>
          <w:tcPr>
            <w:tcW w:type="dxa" w:w="2232"/>
          </w:tcPr>
          <w:p>
            <w:r/>
            <w:r>
              <w:rPr>
                <w:rFonts w:ascii="Times New Roman" w:hAnsi="Times New Roman"/>
                <w:b w:val="0"/>
                <w:sz w:val="20"/>
              </w:rPr>
              <w:t>Transformers that detect and explain depressive symptom markers</w:t>
            </w:r>
          </w:p>
        </w:tc>
        <w:tc>
          <w:tcPr>
            <w:tcW w:type="dxa" w:w="2088"/>
          </w:tcPr>
          <w:p>
            <w:r/>
            <w:r>
              <w:rPr>
                <w:rFonts w:ascii="Times New Roman" w:hAnsi="Times New Roman"/>
                <w:b w:val="0"/>
                <w:sz w:val="20"/>
              </w:rPr>
              <w:t>Symptom markers increase clinician trust; explanations align with validated symptoms</w:t>
            </w:r>
          </w:p>
        </w:tc>
        <w:tc>
          <w:tcPr>
            <w:tcW w:type="dxa" w:w="2232"/>
          </w:tcPr>
          <w:p>
            <w:r/>
            <w:r>
              <w:rPr>
                <w:rFonts w:ascii="Times New Roman" w:hAnsi="Times New Roman"/>
                <w:b w:val="0"/>
                <w:sz w:val="20"/>
              </w:rPr>
              <w:t>Symptom layer accompanies the decision rather than constraining it</w:t>
            </w:r>
          </w:p>
        </w:tc>
      </w:tr>
      <w:tr>
        <w:tc>
          <w:tcPr>
            <w:tcW w:type="dxa" w:w="792"/>
          </w:tcPr>
          <w:p>
            <w:r/>
            <w:r>
              <w:rPr>
                <w:rFonts w:ascii="Times New Roman" w:hAnsi="Times New Roman"/>
                <w:b w:val="0"/>
                <w:sz w:val="20"/>
              </w:rPr>
              <w:t>[11]</w:t>
            </w:r>
          </w:p>
        </w:tc>
        <w:tc>
          <w:tcPr>
            <w:tcW w:type="dxa" w:w="1512"/>
          </w:tcPr>
          <w:p>
            <w:r/>
            <w:r>
              <w:rPr>
                <w:rFonts w:ascii="Times New Roman" w:hAnsi="Times New Roman"/>
                <w:b w:val="0"/>
                <w:sz w:val="20"/>
              </w:rPr>
              <w:t>Suksam et al. (2026)</w:t>
            </w:r>
          </w:p>
        </w:tc>
        <w:tc>
          <w:tcPr>
            <w:tcW w:type="dxa" w:w="2232"/>
          </w:tcPr>
          <w:p>
            <w:r/>
            <w:r>
              <w:rPr>
                <w:rFonts w:ascii="Times New Roman" w:hAnsi="Times New Roman"/>
                <w:b w:val="0"/>
                <w:sz w:val="20"/>
              </w:rPr>
              <w:t>Transformer ensemble for symptom-level classification, then DSM-5 screening</w:t>
            </w:r>
          </w:p>
        </w:tc>
        <w:tc>
          <w:tcPr>
            <w:tcW w:type="dxa" w:w="2088"/>
          </w:tcPr>
          <w:p>
            <w:r/>
            <w:r>
              <w:rPr>
                <w:rFonts w:ascii="Times New Roman" w:hAnsi="Times New Roman"/>
                <w:b w:val="0"/>
                <w:sz w:val="20"/>
              </w:rPr>
              <w:t>Symptom layer as primary target; screening derived from predicted symptoms</w:t>
            </w:r>
          </w:p>
        </w:tc>
        <w:tc>
          <w:tcPr>
            <w:tcW w:type="dxa" w:w="2232"/>
          </w:tcPr>
          <w:p>
            <w:r/>
            <w:r>
              <w:rPr>
                <w:rFonts w:ascii="Times New Roman" w:hAnsi="Times New Roman"/>
                <w:b w:val="0"/>
                <w:sz w:val="20"/>
              </w:rPr>
              <w:t>Fixed post-hoc aggregation rule; ensemble members share no clinical structure</w:t>
            </w:r>
          </w:p>
        </w:tc>
      </w:tr>
      <w:tr>
        <w:tc>
          <w:tcPr>
            <w:tcW w:type="dxa" w:w="792"/>
          </w:tcPr>
          <w:p>
            <w:r/>
            <w:r>
              <w:rPr>
                <w:rFonts w:ascii="Times New Roman" w:hAnsi="Times New Roman"/>
                <w:b w:val="0"/>
                <w:sz w:val="20"/>
              </w:rPr>
              <w:t>[15]</w:t>
            </w:r>
          </w:p>
        </w:tc>
        <w:tc>
          <w:tcPr>
            <w:tcW w:type="dxa" w:w="1512"/>
          </w:tcPr>
          <w:p>
            <w:r/>
            <w:r>
              <w:rPr>
                <w:rFonts w:ascii="Times New Roman" w:hAnsi="Times New Roman"/>
                <w:b w:val="0"/>
                <w:sz w:val="20"/>
              </w:rPr>
              <w:t>Kerasiotis et al. (2024)</w:t>
            </w:r>
          </w:p>
        </w:tc>
        <w:tc>
          <w:tcPr>
            <w:tcW w:type="dxa" w:w="2232"/>
          </w:tcPr>
          <w:p>
            <w:r/>
            <w:r>
              <w:rPr>
                <w:rFonts w:ascii="Times New Roman" w:hAnsi="Times New Roman"/>
                <w:b w:val="0"/>
                <w:sz w:val="20"/>
              </w:rPr>
              <w:t>Transformer encoders fused with auxiliary handcrafted features</w:t>
            </w:r>
          </w:p>
        </w:tc>
        <w:tc>
          <w:tcPr>
            <w:tcW w:type="dxa" w:w="2088"/>
          </w:tcPr>
          <w:p>
            <w:r/>
            <w:r>
              <w:rPr>
                <w:rFonts w:ascii="Times New Roman" w:hAnsi="Times New Roman"/>
                <w:b w:val="0"/>
                <w:sz w:val="20"/>
              </w:rPr>
              <w:t>Linguistic features remain complementary to learned representations</w:t>
            </w:r>
          </w:p>
        </w:tc>
        <w:tc>
          <w:tcPr>
            <w:tcW w:type="dxa" w:w="2232"/>
          </w:tcPr>
          <w:p>
            <w:r/>
            <w:r>
              <w:rPr>
                <w:rFonts w:ascii="Times New Roman" w:hAnsi="Times New Roman"/>
                <w:b w:val="0"/>
                <w:sz w:val="20"/>
              </w:rPr>
              <w:t>Knowledge conditions the input; dependence among predicted constructs unmodelled</w:t>
            </w:r>
          </w:p>
        </w:tc>
      </w:tr>
      <w:tr>
        <w:tc>
          <w:tcPr>
            <w:tcW w:type="dxa" w:w="792"/>
          </w:tcPr>
          <w:p>
            <w:r/>
            <w:r>
              <w:rPr>
                <w:rFonts w:ascii="Times New Roman" w:hAnsi="Times New Roman"/>
                <w:b w:val="0"/>
                <w:sz w:val="20"/>
              </w:rPr>
              <w:t>[16]</w:t>
            </w:r>
          </w:p>
        </w:tc>
        <w:tc>
          <w:tcPr>
            <w:tcW w:type="dxa" w:w="1512"/>
          </w:tcPr>
          <w:p>
            <w:r/>
            <w:r>
              <w:rPr>
                <w:rFonts w:ascii="Times New Roman" w:hAnsi="Times New Roman"/>
                <w:b w:val="0"/>
                <w:sz w:val="20"/>
              </w:rPr>
              <w:t>Chen et al. (2025)</w:t>
            </w:r>
          </w:p>
        </w:tc>
        <w:tc>
          <w:tcPr>
            <w:tcW w:type="dxa" w:w="2232"/>
          </w:tcPr>
          <w:p>
            <w:r/>
            <w:r>
              <w:rPr>
                <w:rFonts w:ascii="Times New Roman" w:hAnsi="Times New Roman"/>
                <w:b w:val="0"/>
                <w:sz w:val="20"/>
              </w:rPr>
              <w:t>Heterogeneous subgraph network with prompt learning</w:t>
            </w:r>
          </w:p>
        </w:tc>
        <w:tc>
          <w:tcPr>
            <w:tcW w:type="dxa" w:w="2088"/>
          </w:tcPr>
          <w:p>
            <w:r/>
            <w:r>
              <w:rPr>
                <w:rFonts w:ascii="Times New Roman" w:hAnsi="Times New Roman"/>
                <w:b w:val="0"/>
                <w:sz w:val="20"/>
              </w:rPr>
              <w:t>Graph structure improves both accuracy and interpretability</w:t>
            </w:r>
          </w:p>
        </w:tc>
        <w:tc>
          <w:tcPr>
            <w:tcW w:type="dxa" w:w="2232"/>
          </w:tcPr>
          <w:p>
            <w:r/>
            <w:r>
              <w:rPr>
                <w:rFonts w:ascii="Times New Roman" w:hAnsi="Times New Roman"/>
                <w:b w:val="0"/>
                <w:sz w:val="20"/>
              </w:rPr>
              <w:t>Nodes are posts or users; comorbidity between conditions not represented</w:t>
            </w:r>
          </w:p>
        </w:tc>
      </w:tr>
      <w:tr>
        <w:tc>
          <w:tcPr>
            <w:tcW w:type="dxa" w:w="792"/>
          </w:tcPr>
          <w:p>
            <w:r/>
            <w:r>
              <w:rPr>
                <w:rFonts w:ascii="Times New Roman" w:hAnsi="Times New Roman"/>
                <w:b w:val="0"/>
                <w:sz w:val="20"/>
              </w:rPr>
              <w:t>[18]</w:t>
            </w:r>
          </w:p>
        </w:tc>
        <w:tc>
          <w:tcPr>
            <w:tcW w:type="dxa" w:w="1512"/>
          </w:tcPr>
          <w:p>
            <w:r/>
            <w:r>
              <w:rPr>
                <w:rFonts w:ascii="Times New Roman" w:hAnsi="Times New Roman"/>
                <w:b w:val="0"/>
                <w:sz w:val="20"/>
              </w:rPr>
              <w:t>Rehman et al. (2026)</w:t>
            </w:r>
          </w:p>
        </w:tc>
        <w:tc>
          <w:tcPr>
            <w:tcW w:type="dxa" w:w="2232"/>
          </w:tcPr>
          <w:p>
            <w:r/>
            <w:r>
              <w:rPr>
                <w:rFonts w:ascii="Times New Roman" w:hAnsi="Times New Roman"/>
                <w:b w:val="0"/>
                <w:sz w:val="20"/>
              </w:rPr>
              <w:t>Deep learning and GNN over a graph from post semantics and author relations</w:t>
            </w:r>
          </w:p>
        </w:tc>
        <w:tc>
          <w:tcPr>
            <w:tcW w:type="dxa" w:w="2088"/>
          </w:tcPr>
          <w:p>
            <w:r/>
            <w:r>
              <w:rPr>
                <w:rFonts w:ascii="Times New Roman" w:hAnsi="Times New Roman"/>
                <w:b w:val="0"/>
                <w:sz w:val="20"/>
              </w:rPr>
              <w:t>Joint depression and risk prediction; adds attribution and calibration analysis</w:t>
            </w:r>
          </w:p>
        </w:tc>
        <w:tc>
          <w:tcPr>
            <w:tcW w:type="dxa" w:w="2232"/>
          </w:tcPr>
          <w:p>
            <w:r/>
            <w:r>
              <w:rPr>
                <w:rFonts w:ascii="Times New Roman" w:hAnsi="Times New Roman"/>
                <w:b w:val="0"/>
                <w:sz w:val="20"/>
              </w:rPr>
              <w:t>Graph encodes textual resemblance, not clinical co-occurrence; no random-graph control</w:t>
            </w:r>
          </w:p>
        </w:tc>
      </w:tr>
      <w:tr>
        <w:tc>
          <w:tcPr>
            <w:tcW w:type="dxa" w:w="792"/>
          </w:tcPr>
          <w:p>
            <w:r/>
            <w:r>
              <w:rPr>
                <w:rFonts w:ascii="Times New Roman" w:hAnsi="Times New Roman"/>
                <w:b w:val="0"/>
                <w:sz w:val="20"/>
              </w:rPr>
              <w:t>[19]</w:t>
            </w:r>
          </w:p>
        </w:tc>
        <w:tc>
          <w:tcPr>
            <w:tcW w:type="dxa" w:w="1512"/>
          </w:tcPr>
          <w:p>
            <w:r/>
            <w:r>
              <w:rPr>
                <w:rFonts w:ascii="Times New Roman" w:hAnsi="Times New Roman"/>
                <w:b w:val="0"/>
                <w:sz w:val="20"/>
              </w:rPr>
              <w:t>Tahir et al. (2026)</w:t>
            </w:r>
          </w:p>
        </w:tc>
        <w:tc>
          <w:tcPr>
            <w:tcW w:type="dxa" w:w="2232"/>
          </w:tcPr>
          <w:p>
            <w:r/>
            <w:r>
              <w:rPr>
                <w:rFonts w:ascii="Times New Roman" w:hAnsi="Times New Roman"/>
                <w:b w:val="0"/>
                <w:sz w:val="20"/>
              </w:rPr>
              <w:t>Ontology-guided knowledge graph with retrieval-augmented LLM</w:t>
            </w:r>
          </w:p>
        </w:tc>
        <w:tc>
          <w:tcPr>
            <w:tcW w:type="dxa" w:w="2088"/>
          </w:tcPr>
          <w:p>
            <w:r/>
            <w:r>
              <w:rPr>
                <w:rFonts w:ascii="Times New Roman" w:hAnsi="Times New Roman"/>
                <w:b w:val="0"/>
                <w:sz w:val="20"/>
              </w:rPr>
              <w:t>Clinical ontologies can be brought into the assessment pipeline</w:t>
            </w:r>
          </w:p>
        </w:tc>
        <w:tc>
          <w:tcPr>
            <w:tcW w:type="dxa" w:w="2232"/>
          </w:tcPr>
          <w:p>
            <w:r/>
            <w:r>
              <w:rPr>
                <w:rFonts w:ascii="Times New Roman" w:hAnsi="Times New Roman"/>
                <w:b w:val="0"/>
                <w:sz w:val="20"/>
              </w:rPr>
              <w:t>Ontology retrieves evidence rather than defining a differentiable adjacency</w:t>
            </w:r>
          </w:p>
        </w:tc>
      </w:tr>
      <w:tr>
        <w:tc>
          <w:tcPr>
            <w:tcW w:type="dxa" w:w="792"/>
          </w:tcPr>
          <w:p>
            <w:r/>
            <w:r>
              <w:rPr>
                <w:rFonts w:ascii="Times New Roman" w:hAnsi="Times New Roman"/>
                <w:b w:val="0"/>
                <w:sz w:val="20"/>
              </w:rPr>
              <w:t>[21]</w:t>
            </w:r>
          </w:p>
        </w:tc>
        <w:tc>
          <w:tcPr>
            <w:tcW w:type="dxa" w:w="1512"/>
          </w:tcPr>
          <w:p>
            <w:r/>
            <w:r>
              <w:rPr>
                <w:rFonts w:ascii="Times New Roman" w:hAnsi="Times New Roman"/>
                <w:b w:val="0"/>
                <w:sz w:val="20"/>
              </w:rPr>
              <w:t>Hsieh et al. (2025)</w:t>
            </w:r>
          </w:p>
        </w:tc>
        <w:tc>
          <w:tcPr>
            <w:tcW w:type="dxa" w:w="2232"/>
          </w:tcPr>
          <w:p>
            <w:r/>
            <w:r>
              <w:rPr>
                <w:rFonts w:ascii="Times New Roman" w:hAnsi="Times New Roman"/>
                <w:b w:val="0"/>
                <w:sz w:val="20"/>
              </w:rPr>
              <w:t>Multi-perspective prompt ensemble with perturbation self-supervision</w:t>
            </w:r>
          </w:p>
        </w:tc>
        <w:tc>
          <w:tcPr>
            <w:tcW w:type="dxa" w:w="2088"/>
          </w:tcPr>
          <w:p>
            <w:r/>
            <w:r>
              <w:rPr>
                <w:rFonts w:ascii="Times New Roman" w:hAnsi="Times New Roman"/>
                <w:b w:val="0"/>
                <w:sz w:val="20"/>
              </w:rPr>
              <w:t>Prompt diversity and consistency regularisation help multi-label classification</w:t>
            </w:r>
          </w:p>
        </w:tc>
        <w:tc>
          <w:tcPr>
            <w:tcW w:type="dxa" w:w="2232"/>
          </w:tcPr>
          <w:p>
            <w:r/>
            <w:r>
              <w:rPr>
                <w:rFonts w:ascii="Times New Roman" w:hAnsi="Times New Roman"/>
                <w:b w:val="0"/>
                <w:sz w:val="20"/>
              </w:rPr>
              <w:t>Labels are disorders, not instrument items; cannot aggregate into graded severity</w:t>
            </w:r>
          </w:p>
        </w:tc>
      </w:tr>
      <w:tr>
        <w:tc>
          <w:tcPr>
            <w:tcW w:type="dxa" w:w="792"/>
          </w:tcPr>
          <w:p>
            <w:r/>
            <w:r>
              <w:rPr>
                <w:rFonts w:ascii="Times New Roman" w:hAnsi="Times New Roman"/>
                <w:b w:val="0"/>
                <w:sz w:val="20"/>
              </w:rPr>
              <w:t>[23]</w:t>
            </w:r>
          </w:p>
        </w:tc>
        <w:tc>
          <w:tcPr>
            <w:tcW w:type="dxa" w:w="1512"/>
          </w:tcPr>
          <w:p>
            <w:r/>
            <w:r>
              <w:rPr>
                <w:rFonts w:ascii="Times New Roman" w:hAnsi="Times New Roman"/>
                <w:b w:val="0"/>
                <w:sz w:val="20"/>
              </w:rPr>
              <w:t>Hsu &amp; Roberts (2025)</w:t>
            </w:r>
          </w:p>
        </w:tc>
        <w:tc>
          <w:tcPr>
            <w:tcW w:type="dxa" w:w="2232"/>
          </w:tcPr>
          <w:p>
            <w:r/>
            <w:r>
              <w:rPr>
                <w:rFonts w:ascii="Times New Roman" w:hAnsi="Times New Roman"/>
                <w:b w:val="0"/>
                <w:sz w:val="20"/>
              </w:rPr>
              <w:t>Knowledge-free LLM weak supervision for clinical NLP</w:t>
            </w:r>
          </w:p>
        </w:tc>
        <w:tc>
          <w:tcPr>
            <w:tcW w:type="dxa" w:w="2088"/>
          </w:tcPr>
          <w:p>
            <w:r/>
            <w:r>
              <w:rPr>
                <w:rFonts w:ascii="Times New Roman" w:hAnsi="Times New Roman"/>
                <w:b w:val="0"/>
                <w:sz w:val="20"/>
              </w:rPr>
              <w:t>Model-generated labels can substitute for scarce expert annotation</w:t>
            </w:r>
          </w:p>
        </w:tc>
        <w:tc>
          <w:tcPr>
            <w:tcW w:type="dxa" w:w="2232"/>
          </w:tcPr>
          <w:p>
            <w:r/>
            <w:r>
              <w:rPr>
                <w:rFonts w:ascii="Times New Roman" w:hAnsi="Times New Roman"/>
                <w:b w:val="0"/>
                <w:sz w:val="20"/>
              </w:rPr>
              <w:t>Weak labels treated as certain; per-class labeller bias neither estimated nor inverted</w:t>
            </w:r>
          </w:p>
        </w:tc>
      </w:tr>
      <w:tr>
        <w:tc>
          <w:tcPr>
            <w:tcW w:type="dxa" w:w="792"/>
          </w:tcPr>
          <w:p>
            <w:r/>
            <w:r>
              <w:rPr>
                <w:rFonts w:ascii="Times New Roman" w:hAnsi="Times New Roman"/>
                <w:b w:val="0"/>
                <w:sz w:val="20"/>
              </w:rPr>
              <w:t>[25], [26], [30]</w:t>
            </w:r>
          </w:p>
        </w:tc>
        <w:tc>
          <w:tcPr>
            <w:tcW w:type="dxa" w:w="1512"/>
          </w:tcPr>
          <w:p>
            <w:r/>
            <w:r>
              <w:rPr>
                <w:rFonts w:ascii="Times New Roman" w:hAnsi="Times New Roman"/>
                <w:b w:val="0"/>
                <w:sz w:val="20"/>
              </w:rPr>
              <w:t>Guo et al. (2024); Omar et al. (2024); Bucher et al. (2025)</w:t>
            </w:r>
          </w:p>
        </w:tc>
        <w:tc>
          <w:tcPr>
            <w:tcW w:type="dxa" w:w="2232"/>
          </w:tcPr>
          <w:p>
            <w:r/>
            <w:r>
              <w:rPr>
                <w:rFonts w:ascii="Times New Roman" w:hAnsi="Times New Roman"/>
                <w:b w:val="0"/>
                <w:sz w:val="20"/>
              </w:rPr>
              <w:t>Systematic reviews of LLMs in mental health and psychiatry</w:t>
            </w:r>
          </w:p>
        </w:tc>
        <w:tc>
          <w:tcPr>
            <w:tcW w:type="dxa" w:w="2088"/>
          </w:tcPr>
          <w:p>
            <w:r/>
            <w:r>
              <w:rPr>
                <w:rFonts w:ascii="Times New Roman" w:hAnsi="Times New Roman"/>
                <w:b w:val="0"/>
                <w:sz w:val="20"/>
              </w:rPr>
              <w:t>Evaluations are not comparable; provenance seldom examined; clinical validity rarely established</w:t>
            </w:r>
          </w:p>
        </w:tc>
        <w:tc>
          <w:tcPr>
            <w:tcW w:type="dxa" w:w="2232"/>
          </w:tcPr>
          <w:p>
            <w:r/>
            <w:r>
              <w:rPr>
                <w:rFonts w:ascii="Times New Roman" w:hAnsi="Times New Roman"/>
                <w:b w:val="0"/>
                <w:sz w:val="20"/>
              </w:rPr>
              <w:t>Diagnose the problem without supplying a leakage-controlled, significance-audited protocol</w:t>
            </w:r>
          </w:p>
        </w:tc>
      </w:tr>
      <w:tr>
        <w:tc>
          <w:tcPr>
            <w:tcW w:type="dxa" w:w="792"/>
          </w:tcPr>
          <w:p>
            <w:r/>
            <w:r>
              <w:rPr>
                <w:rFonts w:ascii="Times New Roman" w:hAnsi="Times New Roman"/>
                <w:b/>
                <w:sz w:val="20"/>
              </w:rPr>
              <w:t>Proposed</w:t>
            </w:r>
          </w:p>
        </w:tc>
        <w:tc>
          <w:tcPr>
            <w:tcW w:type="dxa" w:w="1512"/>
          </w:tcPr>
          <w:p>
            <w:r/>
            <w:r>
              <w:rPr>
                <w:rFonts w:ascii="Times New Roman" w:hAnsi="Times New Roman"/>
                <w:b w:val="0"/>
                <w:sz w:val="20"/>
              </w:rPr>
              <w:t>SymptoGraph-LLM (2026)</w:t>
            </w:r>
          </w:p>
        </w:tc>
        <w:tc>
          <w:tcPr>
            <w:tcW w:type="dxa" w:w="2232"/>
          </w:tcPr>
          <w:p>
            <w:r/>
            <w:r>
              <w:rPr>
                <w:rFonts w:ascii="Times New Roman" w:hAnsi="Times New Roman"/>
                <w:b w:val="0"/>
                <w:sz w:val="20"/>
              </w:rPr>
              <w:t>Symptom-grounded concept bottleneck over a comorbidity graph, with a monotone instrument-grounded ordinal head and noise-corrected LLM weak supervision</w:t>
            </w:r>
          </w:p>
        </w:tc>
        <w:tc>
          <w:tcPr>
            <w:tcW w:type="dxa" w:w="2088"/>
          </w:tcPr>
          <w:p>
            <w:r/>
            <w:r>
              <w:rPr>
                <w:rFonts w:ascii="Times New Roman" w:hAnsi="Times New Roman"/>
                <w:b w:val="0"/>
                <w:sz w:val="20"/>
              </w:rPr>
              <w:t>Symptom layer is obligatory; comorbidity propagated; severity monotone in symptom presence by construction; labeller bias inverted</w:t>
            </w:r>
          </w:p>
        </w:tc>
        <w:tc>
          <w:tcPr>
            <w:tcW w:type="dxa" w:w="2232"/>
          </w:tcPr>
          <w:p>
            <w:r/>
            <w:r>
              <w:rPr>
                <w:rFonts w:ascii="Times New Roman" w:hAnsi="Times New Roman"/>
                <w:b w:val="0"/>
                <w:sz w:val="20"/>
              </w:rPr>
              <w:t>Integrates interpretable symptom mediation, comorbid structure and corrected weak supervision under leakage control and paired significance testing</w:t>
            </w:r>
          </w:p>
        </w:tc>
      </w:tr>
    </w:tbl>
    <w:p/>
    <w:p>
      <w:pPr>
        <w:jc w:val="both"/>
      </w:pPr>
      <w:r>
        <w:rPr>
          <w:rFonts w:ascii="Times New Roman" w:hAnsi="Times New Roman"/>
          <w:b w:val="0"/>
          <w:sz w:val="24"/>
        </w:rPr>
        <w:t>Taking into account the abovementioned literature review, there have been numerous developments in terms of instruction-tuned language models for disorder classification, symptom-marker detection and explanation, graph-based and knowledge-graph-based modelling, weak supervision from large language models, and benchmark construction for mental-health natural language processing. However, most of the existing studies deal only with particular issues, such as improving a single disorder-level score, generating an explanation alongside a decision, or fusing additional features, but fail to provide an integrated method in which the clinical symptom layer is an obligatory intermediate representation and the disorder-level outputs are derived from it under clinically motivated constraints. Moreover, most existing solutions do not incorporate dependence between the predicted conditions, although comorbidity has repeatedly been shown to be the norm rather than the exception. Although several studies employ large language models as annotators, the systematic per-class bias of the annotating model is not estimated, so a symptom the model over-recognises transfers that bias into the trained classifier. Besides, it is rare for existing research to control for the substantial mutual overlap between the public corpora used in this field, or to report whether a claimed margin exceeds the variability of the evaluation itself, so it is difficult to state whether reported accuracy reflects genuine generalisation or shared provenance between training and test material.</w:t>
      </w:r>
    </w:p>
    <w:p>
      <w:pPr>
        <w:jc w:val="both"/>
      </w:pPr>
      <w:r>
        <w:rPr>
          <w:rFonts w:ascii="Times New Roman" w:hAnsi="Times New Roman"/>
          <w:b/>
          <w:sz w:val="24"/>
        </w:rPr>
        <w:t>3. Proposed Methodology</w:t>
      </w:r>
    </w:p>
    <w:p>
      <w:pPr>
        <w:jc w:val="both"/>
      </w:pPr>
      <w:r>
        <w:rPr>
          <w:rFonts w:ascii="Times New Roman" w:hAnsi="Times New Roman"/>
          <w:b w:val="0"/>
          <w:sz w:val="24"/>
        </w:rPr>
        <w:t>The proposed SymptoGraph-LLM framework can be applied for interpretable mental-health assessment from short, noisy, user-generated text in which clinical labels are scarce, unevenly distributed across conditions and drawn from corpora of overlapping provenance. Different from existing frameworks that either classify a disorder directly, generate an explanation alongside a decision, or fuse auxiliary features into the input representation, the proposed framework integrates the following elements into a unified estimation pipeline: a clinical concept bottleneck with definition-initialised symptom attention, a symptom-disorder comorbidity graph with a learned residual, an instrument-grounded monotone ordinal head, calibrated weak supervision with a per-symptom noise channel, and a leakage-controlled evaluation protocol with paired significance testing. First, seven public corpora are harmonised into a single canonical table over a shared twenty-two symptom space derived from the PHQ-9 and GAD-7 instruments, with a global post identifier assigned over a normalised text prefix so that a post appearing in several corpora collapses to one row. Then the text is encoded by a domain-pretrained transformer and projected onto the symptom space by attention queries initialised from the sentence embeddings of the clinical definitions, producing a concept vector through which every downstream prediction must pass. The concept vector is refined by message passing over a graph whose nodes are symptoms and disorders and whose adjacency combines a DSM-5 derived prior with a learned, L1-penalised residual. Meanwhile, an instrument-grounded monotone ordinal head maps the concept vector onto a bounded latent distress trait through non-negative item weights and predicts each ordinal task by a cumulative-link model with strictly ordered cutpoints. In parallel, an instruction-tuned large language model executed locally labels the eleven symptoms that no public corpus annotates, its verbalised confidence is temperature-calibrated against gold agreement, and its per-symptom true-positive and false-positive rates are estimated and inverted during training. Finally, performance is evaluated under author-disjoint splits with validation-loss checkpoint selection, three-seed replication, per-task bootstrap confidence intervals and paired bootstrap tests on resampled test examples, against three baselines, three architectures re-implemented from the recent literature, five component-wise ablations and three isolating controls. The full pipeline of the proposed SymptoGraph-LLM framework is illustrated in Figure 1.</w:t>
      </w:r>
    </w:p>
    <w:p>
      <w:pPr>
        <w:jc w:val="both"/>
      </w:pPr>
      <w:r>
        <w:rPr>
          <w:rFonts w:ascii="Times New Roman" w:hAnsi="Times New Roman"/>
          <w:b w:val="0"/>
          <w:sz w:val="24"/>
        </w:rPr>
      </w:r>
    </w:p>
    <w:p>
      <w:pPr>
        <w:jc w:val="center"/>
      </w:pPr>
      <w:r>
        <w:drawing>
          <wp:inline xmlns:a="http://schemas.openxmlformats.org/drawingml/2006/main" xmlns:pic="http://schemas.openxmlformats.org/drawingml/2006/picture">
            <wp:extent cx="5733288" cy="3318628"/>
            <wp:docPr id="1" name="Picture 1"/>
            <wp:cNvGraphicFramePr>
              <a:graphicFrameLocks noChangeAspect="1"/>
            </wp:cNvGraphicFramePr>
            <a:graphic>
              <a:graphicData uri="http://schemas.openxmlformats.org/drawingml/2006/picture">
                <pic:pic>
                  <pic:nvPicPr>
                    <pic:cNvPr id="0" name="figure1_architecture.png"/>
                    <pic:cNvPicPr/>
                  </pic:nvPicPr>
                  <pic:blipFill>
                    <a:blip r:embed="rId9"/>
                    <a:stretch>
                      <a:fillRect/>
                    </a:stretch>
                  </pic:blipFill>
                  <pic:spPr>
                    <a:xfrm>
                      <a:off x="0" y="0"/>
                      <a:ext cx="5733288" cy="3318628"/>
                    </a:xfrm>
                    <a:prstGeom prst="rect"/>
                  </pic:spPr>
                </pic:pic>
              </a:graphicData>
            </a:graphic>
          </wp:inline>
        </w:drawing>
      </w:r>
    </w:p>
    <w:p>
      <w:pPr>
        <w:jc w:val="center"/>
      </w:pPr>
      <w:r>
        <w:rPr>
          <w:rFonts w:ascii="Times New Roman" w:hAnsi="Times New Roman"/>
          <w:sz w:val="24"/>
        </w:rPr>
        <w:t>Figure 1. Overall workflow of the proposed SymptoGraph-LLM framework.</w:t>
      </w:r>
    </w:p>
    <w:p>
      <w:pPr>
        <w:jc w:val="both"/>
      </w:pPr>
      <w:r>
        <w:rPr>
          <w:rFonts w:ascii="Times New Roman" w:hAnsi="Times New Roman"/>
          <w:b/>
          <w:sz w:val="24"/>
        </w:rPr>
        <w:t>3.1 Dataset Description</w:t>
      </w:r>
    </w:p>
    <w:p>
      <w:pPr>
        <w:jc w:val="both"/>
      </w:pPr>
      <w:r>
        <w:rPr>
          <w:rFonts w:ascii="Times New Roman" w:hAnsi="Times New Roman"/>
          <w:b w:val="0"/>
          <w:sz w:val="24"/>
        </w:rPr>
        <w:t>A harmonised corpus assembled from seven publicly available mental-health text collections is selected as the primary dataset for the development and evaluation of the SymptoGraph-LLM framework, due to its combination of symptom-level, severity-level and risk-level annotation over the same canonical label space, which is required for symptom-mediated estimation by structured deep learning. In contrast to conventional mental-health datasets that provide a single binary disorder label or a single severity scale, the assembled corpus comprises item-level symptom annotations aligned to the PHQ-9 and GAD-7 instruments, four-level depression severity, five-level clinician-coded suicide risk, binary perceived stress, author identifiers, posting dates and subreddit provenance, enabling the proposed framework to learn symptom-mediated and comorbidity-aware response behaviour. The gold-labelled partition consists of 19,762 unique posts over a shared space of 22 symptoms, of which 9 correspond to PHQ-9 items, 7 to GAD-7 items and 6 to additional constructs drawn from the interpersonal-risk and loneliness literature. The constituent sources are DepressionEmo for item-level depressive symptoms, Dreaddit for perceived stress, DepSeverity for four-level depression severity, the C-SSRS annotated Reddit collection for five-level suicide risk, the Interpersonal Risk Factors and LoST collections for thwarted belongingness, perceived burdensomeness and loneliness, and the IMHI instruction collection, together with a large unlabelled pool of 1,017,959 posts drawn from the Reddit Mental Health Dataset spanning 108 subreddit files and 822,884 distinct authors. Symptom labels use three states, denoting presence, absence and absence of annotation by that source, so that an unannotated symptom is masked out of the loss rather than being treated as a negative observation.</w:t>
      </w:r>
    </w:p>
    <w:p>
      <w:pPr>
        <w:jc w:val="both"/>
      </w:pPr>
      <w:r>
        <w:rPr>
          <w:rFonts w:ascii="Times New Roman" w:hAnsi="Times New Roman"/>
          <w:b w:val="0"/>
          <w:sz w:val="24"/>
        </w:rPr>
        <w:t>Before developing the models, the harmonised corpus is pre-processed and partitioned so that no post and no author can appear on both sides of a split. Five distinct routes by which the constituent corpora overlap were measured and are reported in Table 2; the most severe is that DepSeverity is a re-annotation of the same 3,526 posts contained in Dreaddit, so that treating either as an independent evaluation set for the other would be circular. A global post identifier is therefore computed as the hash of a normalised two-hundred-character prefix, each unique post is assigned exactly one split, Reddit posts with a known author are partitioned author-disjointly, and where corpora disagree the strictest assignment prevails. The partitioning is verified by an assertion that raises if any post or any author crosses a split boundary. De-seasonalised provenance metadata, clear-text length statistics and observation-validity masks are preserved to support loss masking and subgroup analysis. The resulting dataset partition used for the experimental study is illustrated in Table 3.</w:t>
      </w:r>
    </w:p>
    <w:p>
      <w:pPr>
        <w:jc w:val="both"/>
      </w:pPr>
      <w:r>
        <w:rPr>
          <w:rFonts w:ascii="Times New Roman" w:hAnsi="Times New Roman"/>
          <w:b/>
          <w:sz w:val="24"/>
        </w:rPr>
        <w:t>Table 2. Measured overlap between the constituent corpora, and the control applied to each.</w:t>
      </w:r>
    </w:p>
    <w:tbl>
      <w:tblPr>
        <w:tblStyle w:val="TableGrid"/>
        <w:tblW w:type="auto" w:w="0"/>
        <w:tblLook w:firstColumn="1" w:firstRow="1" w:lastColumn="0" w:lastRow="0" w:noHBand="0" w:noVBand="1" w:val="04A0"/>
      </w:tblPr>
      <w:tblGrid>
        <w:gridCol w:w="3010"/>
        <w:gridCol w:w="3010"/>
        <w:gridCol w:w="3010"/>
      </w:tblGrid>
      <w:tr>
        <w:tc>
          <w:tcPr>
            <w:tcW w:type="dxa" w:w="2736"/>
          </w:tcPr>
          <w:p>
            <w:r/>
            <w:r>
              <w:rPr>
                <w:rFonts w:ascii="Times New Roman" w:hAnsi="Times New Roman"/>
                <w:b/>
                <w:sz w:val="20"/>
              </w:rPr>
              <w:t>Overlap route</w:t>
            </w:r>
          </w:p>
        </w:tc>
        <w:tc>
          <w:tcPr>
            <w:tcW w:type="dxa" w:w="2736"/>
          </w:tcPr>
          <w:p>
            <w:r/>
            <w:r>
              <w:rPr>
                <w:rFonts w:ascii="Times New Roman" w:hAnsi="Times New Roman"/>
                <w:b/>
                <w:sz w:val="20"/>
              </w:rPr>
              <w:t>Measured extent</w:t>
            </w:r>
          </w:p>
        </w:tc>
        <w:tc>
          <w:tcPr>
            <w:tcW w:type="dxa" w:w="3456"/>
          </w:tcPr>
          <w:p>
            <w:r/>
            <w:r>
              <w:rPr>
                <w:rFonts w:ascii="Times New Roman" w:hAnsi="Times New Roman"/>
                <w:b/>
                <w:sz w:val="20"/>
              </w:rPr>
              <w:t>Control applied</w:t>
            </w:r>
          </w:p>
        </w:tc>
      </w:tr>
      <w:tr>
        <w:tc>
          <w:tcPr>
            <w:tcW w:type="dxa" w:w="2736"/>
          </w:tcPr>
          <w:p>
            <w:r/>
            <w:r>
              <w:rPr>
                <w:rFonts w:ascii="Times New Roman" w:hAnsi="Times New Roman"/>
                <w:b w:val="0"/>
                <w:sz w:val="20"/>
              </w:rPr>
              <w:t>DepSeverity re-annotates Dreaddit</w:t>
            </w:r>
          </w:p>
        </w:tc>
        <w:tc>
          <w:tcPr>
            <w:tcW w:type="dxa" w:w="2736"/>
          </w:tcPr>
          <w:p>
            <w:r/>
            <w:r>
              <w:rPr>
                <w:rFonts w:ascii="Times New Roman" w:hAnsi="Times New Roman"/>
                <w:b w:val="0"/>
                <w:sz w:val="20"/>
              </w:rPr>
              <w:t>3,526 posts identical in both corpora</w:t>
            </w:r>
          </w:p>
        </w:tc>
        <w:tc>
          <w:tcPr>
            <w:tcW w:type="dxa" w:w="3456"/>
          </w:tcPr>
          <w:p>
            <w:r/>
            <w:r>
              <w:rPr>
                <w:rFonts w:ascii="Times New Roman" w:hAnsi="Times New Roman"/>
                <w:b w:val="0"/>
                <w:sz w:val="20"/>
              </w:rPr>
              <w:t>Single global post identifier; one split per unique post</w:t>
            </w:r>
          </w:p>
        </w:tc>
      </w:tr>
      <w:tr>
        <w:tc>
          <w:tcPr>
            <w:tcW w:type="dxa" w:w="2736"/>
          </w:tcPr>
          <w:p>
            <w:r/>
            <w:r>
              <w:rPr>
                <w:rFonts w:ascii="Times New Roman" w:hAnsi="Times New Roman"/>
                <w:b w:val="0"/>
                <w:sz w:val="20"/>
              </w:rPr>
              <w:t>LoST and IRF share posts</w:t>
            </w:r>
          </w:p>
        </w:tc>
        <w:tc>
          <w:tcPr>
            <w:tcW w:type="dxa" w:w="2736"/>
          </w:tcPr>
          <w:p>
            <w:r/>
            <w:r>
              <w:rPr>
                <w:rFonts w:ascii="Times New Roman" w:hAnsi="Times New Roman"/>
                <w:b w:val="0"/>
                <w:sz w:val="20"/>
              </w:rPr>
              <w:t>3,089 posts in common</w:t>
            </w:r>
          </w:p>
        </w:tc>
        <w:tc>
          <w:tcPr>
            <w:tcW w:type="dxa" w:w="3456"/>
          </w:tcPr>
          <w:p>
            <w:r/>
            <w:r>
              <w:rPr>
                <w:rFonts w:ascii="Times New Roman" w:hAnsi="Times New Roman"/>
                <w:b w:val="0"/>
                <w:sz w:val="20"/>
              </w:rPr>
              <w:t>Deduplication before splitting; strictest-split-wins</w:t>
            </w:r>
          </w:p>
        </w:tc>
      </w:tr>
      <w:tr>
        <w:tc>
          <w:tcPr>
            <w:tcW w:type="dxa" w:w="2736"/>
          </w:tcPr>
          <w:p>
            <w:r/>
            <w:r>
              <w:rPr>
                <w:rFonts w:ascii="Times New Roman" w:hAnsi="Times New Roman"/>
                <w:b w:val="0"/>
                <w:sz w:val="20"/>
              </w:rPr>
              <w:t>IMHI repackages IRF and Dreaddit</w:t>
            </w:r>
          </w:p>
        </w:tc>
        <w:tc>
          <w:tcPr>
            <w:tcW w:type="dxa" w:w="2736"/>
          </w:tcPr>
          <w:p>
            <w:r/>
            <w:r>
              <w:rPr>
                <w:rFonts w:ascii="Times New Roman" w:hAnsi="Times New Roman"/>
                <w:b w:val="0"/>
                <w:sz w:val="20"/>
              </w:rPr>
              <w:t>Posts re-emitted behind an instruction prefix</w:t>
            </w:r>
          </w:p>
        </w:tc>
        <w:tc>
          <w:tcPr>
            <w:tcW w:type="dxa" w:w="3456"/>
          </w:tcPr>
          <w:p>
            <w:r/>
            <w:r>
              <w:rPr>
                <w:rFonts w:ascii="Times New Roman" w:hAnsi="Times New Roman"/>
                <w:b w:val="0"/>
                <w:sz w:val="20"/>
              </w:rPr>
              <w:t>Prefix stripped before identifier computation</w:t>
            </w:r>
          </w:p>
        </w:tc>
      </w:tr>
      <w:tr>
        <w:tc>
          <w:tcPr>
            <w:tcW w:type="dxa" w:w="2736"/>
          </w:tcPr>
          <w:p>
            <w:r/>
            <w:r>
              <w:rPr>
                <w:rFonts w:ascii="Times New Roman" w:hAnsi="Times New Roman"/>
                <w:b w:val="0"/>
                <w:sz w:val="20"/>
              </w:rPr>
              <w:t>Authors appear in multiple source files</w:t>
            </w:r>
          </w:p>
        </w:tc>
        <w:tc>
          <w:tcPr>
            <w:tcW w:type="dxa" w:w="2736"/>
          </w:tcPr>
          <w:p>
            <w:r/>
            <w:r>
              <w:rPr>
                <w:rFonts w:ascii="Times New Roman" w:hAnsi="Times New Roman"/>
                <w:b w:val="0"/>
                <w:sz w:val="20"/>
              </w:rPr>
              <w:t>192,893 of 822,884 authors (23.3%)</w:t>
            </w:r>
          </w:p>
        </w:tc>
        <w:tc>
          <w:tcPr>
            <w:tcW w:type="dxa" w:w="3456"/>
          </w:tcPr>
          <w:p>
            <w:r/>
            <w:r>
              <w:rPr>
                <w:rFonts w:ascii="Times New Roman" w:hAnsi="Times New Roman"/>
                <w:b w:val="0"/>
                <w:sz w:val="20"/>
              </w:rPr>
              <w:t>Author-disjoint partitioning with a repair pass</w:t>
            </w:r>
          </w:p>
        </w:tc>
      </w:tr>
      <w:tr>
        <w:tc>
          <w:tcPr>
            <w:tcW w:type="dxa" w:w="2736"/>
          </w:tcPr>
          <w:p>
            <w:r/>
            <w:r>
              <w:rPr>
                <w:rFonts w:ascii="Times New Roman" w:hAnsi="Times New Roman"/>
                <w:b w:val="0"/>
                <w:sz w:val="20"/>
              </w:rPr>
              <w:t>Duplicate posts within the unlabelled pool</w:t>
            </w:r>
          </w:p>
        </w:tc>
        <w:tc>
          <w:tcPr>
            <w:tcW w:type="dxa" w:w="2736"/>
          </w:tcPr>
          <w:p>
            <w:r/>
            <w:r>
              <w:rPr>
                <w:rFonts w:ascii="Times New Roman" w:hAnsi="Times New Roman"/>
                <w:b w:val="0"/>
                <w:sz w:val="20"/>
              </w:rPr>
              <w:t>85,659 duplicates</w:t>
            </w:r>
          </w:p>
        </w:tc>
        <w:tc>
          <w:tcPr>
            <w:tcW w:type="dxa" w:w="3456"/>
          </w:tcPr>
          <w:p>
            <w:r/>
            <w:r>
              <w:rPr>
                <w:rFonts w:ascii="Times New Roman" w:hAnsi="Times New Roman"/>
                <w:b w:val="0"/>
                <w:sz w:val="20"/>
              </w:rPr>
              <w:t>Removed at identifier assignment</w:t>
            </w:r>
          </w:p>
        </w:tc>
      </w:tr>
    </w:tbl>
    <w:p/>
    <w:p>
      <w:pPr>
        <w:jc w:val="both"/>
      </w:pPr>
      <w:r>
        <w:rPr>
          <w:rFonts w:ascii="Times New Roman" w:hAnsi="Times New Roman"/>
          <w:b/>
          <w:sz w:val="24"/>
        </w:rPr>
        <w:t>Table 3. Dataset Partitioning for SymptoGraph-LLM</w:t>
      </w:r>
    </w:p>
    <w:tbl>
      <w:tblPr>
        <w:tblStyle w:val="TableGrid"/>
        <w:tblW w:type="auto" w:w="0"/>
        <w:tblLook w:firstColumn="1" w:firstRow="1" w:lastColumn="0" w:lastRow="0" w:noHBand="0" w:noVBand="1" w:val="04A0"/>
      </w:tblPr>
      <w:tblGrid>
        <w:gridCol w:w="1505"/>
        <w:gridCol w:w="1505"/>
        <w:gridCol w:w="1505"/>
        <w:gridCol w:w="1505"/>
        <w:gridCol w:w="1505"/>
        <w:gridCol w:w="1505"/>
      </w:tblGrid>
      <w:tr>
        <w:tc>
          <w:tcPr>
            <w:tcW w:type="dxa" w:w="2304"/>
          </w:tcPr>
          <w:p>
            <w:r/>
            <w:r>
              <w:rPr>
                <w:rFonts w:ascii="Times New Roman" w:hAnsi="Times New Roman"/>
                <w:b/>
                <w:sz w:val="20"/>
              </w:rPr>
              <w:t>Dataset Split</w:t>
            </w:r>
          </w:p>
        </w:tc>
        <w:tc>
          <w:tcPr>
            <w:tcW w:type="dxa" w:w="1440"/>
          </w:tcPr>
          <w:p>
            <w:r/>
            <w:r>
              <w:rPr>
                <w:rFonts w:ascii="Times New Roman" w:hAnsi="Times New Roman"/>
                <w:b/>
                <w:sz w:val="20"/>
              </w:rPr>
              <w:t>Posts</w:t>
            </w:r>
          </w:p>
        </w:tc>
        <w:tc>
          <w:tcPr>
            <w:tcW w:type="dxa" w:w="1872"/>
          </w:tcPr>
          <w:p>
            <w:r/>
            <w:r>
              <w:rPr>
                <w:rFonts w:ascii="Times New Roman" w:hAnsi="Times New Roman"/>
                <w:b/>
                <w:sz w:val="20"/>
              </w:rPr>
              <w:t>Symptom-annotated</w:t>
            </w:r>
          </w:p>
        </w:tc>
        <w:tc>
          <w:tcPr>
            <w:tcW w:type="dxa" w:w="1152"/>
          </w:tcPr>
          <w:p>
            <w:r/>
            <w:r>
              <w:rPr>
                <w:rFonts w:ascii="Times New Roman" w:hAnsi="Times New Roman"/>
                <w:b/>
                <w:sz w:val="20"/>
              </w:rPr>
              <w:t>Severity</w:t>
            </w:r>
          </w:p>
        </w:tc>
        <w:tc>
          <w:tcPr>
            <w:tcW w:type="dxa" w:w="864"/>
          </w:tcPr>
          <w:p>
            <w:r/>
            <w:r>
              <w:rPr>
                <w:rFonts w:ascii="Times New Roman" w:hAnsi="Times New Roman"/>
                <w:b/>
                <w:sz w:val="20"/>
              </w:rPr>
              <w:t>Risk</w:t>
            </w:r>
          </w:p>
        </w:tc>
        <w:tc>
          <w:tcPr>
            <w:tcW w:type="dxa" w:w="1152"/>
          </w:tcPr>
          <w:p>
            <w:r/>
            <w:r>
              <w:rPr>
                <w:rFonts w:ascii="Times New Roman" w:hAnsi="Times New Roman"/>
                <w:b/>
                <w:sz w:val="20"/>
              </w:rPr>
              <w:t>Split %</w:t>
            </w:r>
          </w:p>
        </w:tc>
      </w:tr>
      <w:tr>
        <w:tc>
          <w:tcPr>
            <w:tcW w:type="dxa" w:w="2304"/>
          </w:tcPr>
          <w:p>
            <w:r/>
            <w:r>
              <w:rPr>
                <w:rFonts w:ascii="Times New Roman" w:hAnsi="Times New Roman"/>
                <w:b w:val="0"/>
                <w:sz w:val="20"/>
              </w:rPr>
              <w:t>Training Set</w:t>
            </w:r>
          </w:p>
        </w:tc>
        <w:tc>
          <w:tcPr>
            <w:tcW w:type="dxa" w:w="1440"/>
          </w:tcPr>
          <w:p>
            <w:r/>
            <w:r>
              <w:rPr>
                <w:rFonts w:ascii="Times New Roman" w:hAnsi="Times New Roman"/>
                <w:b w:val="0"/>
                <w:sz w:val="20"/>
              </w:rPr>
              <w:t>12,911</w:t>
            </w:r>
          </w:p>
        </w:tc>
        <w:tc>
          <w:tcPr>
            <w:tcW w:type="dxa" w:w="1872"/>
          </w:tcPr>
          <w:p>
            <w:r/>
            <w:r>
              <w:rPr>
                <w:rFonts w:ascii="Times New Roman" w:hAnsi="Times New Roman"/>
                <w:b w:val="0"/>
                <w:sz w:val="20"/>
              </w:rPr>
              <w:t>6,227</w:t>
            </w:r>
          </w:p>
        </w:tc>
        <w:tc>
          <w:tcPr>
            <w:tcW w:type="dxa" w:w="1152"/>
          </w:tcPr>
          <w:p>
            <w:r/>
            <w:r>
              <w:rPr>
                <w:rFonts w:ascii="Times New Roman" w:hAnsi="Times New Roman"/>
                <w:b w:val="0"/>
                <w:sz w:val="20"/>
              </w:rPr>
              <w:t>2,456</w:t>
            </w:r>
          </w:p>
        </w:tc>
        <w:tc>
          <w:tcPr>
            <w:tcW w:type="dxa" w:w="864"/>
          </w:tcPr>
          <w:p>
            <w:r/>
            <w:r>
              <w:rPr>
                <w:rFonts w:ascii="Times New Roman" w:hAnsi="Times New Roman"/>
                <w:b w:val="0"/>
                <w:sz w:val="20"/>
              </w:rPr>
              <w:t>340</w:t>
            </w:r>
          </w:p>
        </w:tc>
        <w:tc>
          <w:tcPr>
            <w:tcW w:type="dxa" w:w="1152"/>
          </w:tcPr>
          <w:p>
            <w:r/>
            <w:r>
              <w:rPr>
                <w:rFonts w:ascii="Times New Roman" w:hAnsi="Times New Roman"/>
                <w:b w:val="0"/>
                <w:sz w:val="20"/>
              </w:rPr>
              <w:t>65.33%</w:t>
            </w:r>
          </w:p>
        </w:tc>
      </w:tr>
      <w:tr>
        <w:tc>
          <w:tcPr>
            <w:tcW w:type="dxa" w:w="2304"/>
          </w:tcPr>
          <w:p>
            <w:r/>
            <w:r>
              <w:rPr>
                <w:rFonts w:ascii="Times New Roman" w:hAnsi="Times New Roman"/>
                <w:b w:val="0"/>
                <w:sz w:val="20"/>
              </w:rPr>
              <w:t>Validation Set</w:t>
            </w:r>
          </w:p>
        </w:tc>
        <w:tc>
          <w:tcPr>
            <w:tcW w:type="dxa" w:w="1440"/>
          </w:tcPr>
          <w:p>
            <w:r/>
            <w:r>
              <w:rPr>
                <w:rFonts w:ascii="Times New Roman" w:hAnsi="Times New Roman"/>
                <w:b w:val="0"/>
                <w:sz w:val="20"/>
              </w:rPr>
              <w:t>2,862</w:t>
            </w:r>
          </w:p>
        </w:tc>
        <w:tc>
          <w:tcPr>
            <w:tcW w:type="dxa" w:w="1872"/>
          </w:tcPr>
          <w:p>
            <w:r/>
            <w:r>
              <w:rPr>
                <w:rFonts w:ascii="Times New Roman" w:hAnsi="Times New Roman"/>
                <w:b w:val="0"/>
                <w:sz w:val="20"/>
              </w:rPr>
              <w:t>1,397</w:t>
            </w:r>
          </w:p>
        </w:tc>
        <w:tc>
          <w:tcPr>
            <w:tcW w:type="dxa" w:w="1152"/>
          </w:tcPr>
          <w:p>
            <w:r/>
            <w:r>
              <w:rPr>
                <w:rFonts w:ascii="Times New Roman" w:hAnsi="Times New Roman"/>
                <w:b w:val="0"/>
                <w:sz w:val="20"/>
              </w:rPr>
              <w:t>529</w:t>
            </w:r>
          </w:p>
        </w:tc>
        <w:tc>
          <w:tcPr>
            <w:tcW w:type="dxa" w:w="864"/>
          </w:tcPr>
          <w:p>
            <w:r/>
            <w:r>
              <w:rPr>
                <w:rFonts w:ascii="Times New Roman" w:hAnsi="Times New Roman"/>
                <w:b w:val="0"/>
                <w:sz w:val="20"/>
              </w:rPr>
              <w:t>86</w:t>
            </w:r>
          </w:p>
        </w:tc>
        <w:tc>
          <w:tcPr>
            <w:tcW w:type="dxa" w:w="1152"/>
          </w:tcPr>
          <w:p>
            <w:r/>
            <w:r>
              <w:rPr>
                <w:rFonts w:ascii="Times New Roman" w:hAnsi="Times New Roman"/>
                <w:b w:val="0"/>
                <w:sz w:val="20"/>
              </w:rPr>
              <w:t>14.48%</w:t>
            </w:r>
          </w:p>
        </w:tc>
      </w:tr>
      <w:tr>
        <w:tc>
          <w:tcPr>
            <w:tcW w:type="dxa" w:w="2304"/>
          </w:tcPr>
          <w:p>
            <w:r/>
            <w:r>
              <w:rPr>
                <w:rFonts w:ascii="Times New Roman" w:hAnsi="Times New Roman"/>
                <w:b w:val="0"/>
                <w:sz w:val="20"/>
              </w:rPr>
              <w:t>Testing Set</w:t>
            </w:r>
          </w:p>
        </w:tc>
        <w:tc>
          <w:tcPr>
            <w:tcW w:type="dxa" w:w="1440"/>
          </w:tcPr>
          <w:p>
            <w:r/>
            <w:r>
              <w:rPr>
                <w:rFonts w:ascii="Times New Roman" w:hAnsi="Times New Roman"/>
                <w:b w:val="0"/>
                <w:sz w:val="20"/>
              </w:rPr>
              <w:t>3,989</w:t>
            </w:r>
          </w:p>
        </w:tc>
        <w:tc>
          <w:tcPr>
            <w:tcW w:type="dxa" w:w="1872"/>
          </w:tcPr>
          <w:p>
            <w:r/>
            <w:r>
              <w:rPr>
                <w:rFonts w:ascii="Times New Roman" w:hAnsi="Times New Roman"/>
                <w:b w:val="0"/>
                <w:sz w:val="20"/>
              </w:rPr>
              <w:t>1,956</w:t>
            </w:r>
          </w:p>
        </w:tc>
        <w:tc>
          <w:tcPr>
            <w:tcW w:type="dxa" w:w="1152"/>
          </w:tcPr>
          <w:p>
            <w:r/>
            <w:r>
              <w:rPr>
                <w:rFonts w:ascii="Times New Roman" w:hAnsi="Times New Roman"/>
                <w:b w:val="0"/>
                <w:sz w:val="20"/>
              </w:rPr>
              <w:t>541</w:t>
            </w:r>
          </w:p>
        </w:tc>
        <w:tc>
          <w:tcPr>
            <w:tcW w:type="dxa" w:w="864"/>
          </w:tcPr>
          <w:p>
            <w:r/>
            <w:r>
              <w:rPr>
                <w:rFonts w:ascii="Times New Roman" w:hAnsi="Times New Roman"/>
                <w:b w:val="0"/>
                <w:sz w:val="20"/>
              </w:rPr>
              <w:t>74</w:t>
            </w:r>
          </w:p>
        </w:tc>
        <w:tc>
          <w:tcPr>
            <w:tcW w:type="dxa" w:w="1152"/>
          </w:tcPr>
          <w:p>
            <w:r/>
            <w:r>
              <w:rPr>
                <w:rFonts w:ascii="Times New Roman" w:hAnsi="Times New Roman"/>
                <w:b w:val="0"/>
                <w:sz w:val="20"/>
              </w:rPr>
              <w:t>20.19%</w:t>
            </w:r>
          </w:p>
        </w:tc>
      </w:tr>
      <w:tr>
        <w:tc>
          <w:tcPr>
            <w:tcW w:type="dxa" w:w="2304"/>
          </w:tcPr>
          <w:p>
            <w:r/>
            <w:r>
              <w:rPr>
                <w:rFonts w:ascii="Times New Roman" w:hAnsi="Times New Roman"/>
                <w:b w:val="0"/>
                <w:sz w:val="20"/>
              </w:rPr>
              <w:t>Total (gold-labelled)</w:t>
            </w:r>
          </w:p>
        </w:tc>
        <w:tc>
          <w:tcPr>
            <w:tcW w:type="dxa" w:w="1440"/>
          </w:tcPr>
          <w:p>
            <w:r/>
            <w:r>
              <w:rPr>
                <w:rFonts w:ascii="Times New Roman" w:hAnsi="Times New Roman"/>
                <w:b w:val="0"/>
                <w:sz w:val="20"/>
              </w:rPr>
              <w:t>19,762</w:t>
            </w:r>
          </w:p>
        </w:tc>
        <w:tc>
          <w:tcPr>
            <w:tcW w:type="dxa" w:w="1872"/>
          </w:tcPr>
          <w:p>
            <w:r/>
            <w:r>
              <w:rPr>
                <w:rFonts w:ascii="Times New Roman" w:hAnsi="Times New Roman"/>
                <w:b w:val="0"/>
                <w:sz w:val="20"/>
              </w:rPr>
              <w:t>9,580</w:t>
            </w:r>
          </w:p>
        </w:tc>
        <w:tc>
          <w:tcPr>
            <w:tcW w:type="dxa" w:w="1152"/>
          </w:tcPr>
          <w:p>
            <w:r/>
            <w:r>
              <w:rPr>
                <w:rFonts w:ascii="Times New Roman" w:hAnsi="Times New Roman"/>
                <w:b w:val="0"/>
                <w:sz w:val="20"/>
              </w:rPr>
              <w:t>3,526</w:t>
            </w:r>
          </w:p>
        </w:tc>
        <w:tc>
          <w:tcPr>
            <w:tcW w:type="dxa" w:w="864"/>
          </w:tcPr>
          <w:p>
            <w:r/>
            <w:r>
              <w:rPr>
                <w:rFonts w:ascii="Times New Roman" w:hAnsi="Times New Roman"/>
                <w:b w:val="0"/>
                <w:sz w:val="20"/>
              </w:rPr>
              <w:t>500</w:t>
            </w:r>
          </w:p>
        </w:tc>
        <w:tc>
          <w:tcPr>
            <w:tcW w:type="dxa" w:w="1152"/>
          </w:tcPr>
          <w:p>
            <w:r/>
            <w:r>
              <w:rPr>
                <w:rFonts w:ascii="Times New Roman" w:hAnsi="Times New Roman"/>
                <w:b w:val="0"/>
                <w:sz w:val="20"/>
              </w:rPr>
              <w:t>100%</w:t>
            </w:r>
          </w:p>
        </w:tc>
      </w:tr>
      <w:tr>
        <w:tc>
          <w:tcPr>
            <w:tcW w:type="dxa" w:w="2304"/>
          </w:tcPr>
          <w:p>
            <w:r/>
            <w:r>
              <w:rPr>
                <w:rFonts w:ascii="Times New Roman" w:hAnsi="Times New Roman"/>
                <w:b w:val="0"/>
                <w:sz w:val="20"/>
              </w:rPr>
              <w:t>Unlabelled pool</w:t>
            </w:r>
          </w:p>
        </w:tc>
        <w:tc>
          <w:tcPr>
            <w:tcW w:type="dxa" w:w="1440"/>
          </w:tcPr>
          <w:p>
            <w:r/>
            <w:r>
              <w:rPr>
                <w:rFonts w:ascii="Times New Roman" w:hAnsi="Times New Roman"/>
                <w:b w:val="0"/>
                <w:sz w:val="20"/>
              </w:rPr>
              <w:t>1,017,959</w:t>
            </w:r>
          </w:p>
        </w:tc>
        <w:tc>
          <w:tcPr>
            <w:tcW w:type="dxa" w:w="1872"/>
          </w:tcPr>
          <w:p>
            <w:r/>
            <w:r>
              <w:rPr>
                <w:rFonts w:ascii="Times New Roman" w:hAnsi="Times New Roman"/>
                <w:b w:val="0"/>
                <w:sz w:val="20"/>
              </w:rPr>
              <w:t>–</w:t>
            </w:r>
          </w:p>
        </w:tc>
        <w:tc>
          <w:tcPr>
            <w:tcW w:type="dxa" w:w="1152"/>
          </w:tcPr>
          <w:p>
            <w:r/>
            <w:r>
              <w:rPr>
                <w:rFonts w:ascii="Times New Roman" w:hAnsi="Times New Roman"/>
                <w:b w:val="0"/>
                <w:sz w:val="20"/>
              </w:rPr>
              <w:t>–</w:t>
            </w:r>
          </w:p>
        </w:tc>
        <w:tc>
          <w:tcPr>
            <w:tcW w:type="dxa" w:w="864"/>
          </w:tcPr>
          <w:p>
            <w:r/>
            <w:r>
              <w:rPr>
                <w:rFonts w:ascii="Times New Roman" w:hAnsi="Times New Roman"/>
                <w:b w:val="0"/>
                <w:sz w:val="20"/>
              </w:rPr>
              <w:t>–</w:t>
            </w:r>
          </w:p>
        </w:tc>
        <w:tc>
          <w:tcPr>
            <w:tcW w:type="dxa" w:w="1152"/>
          </w:tcPr>
          <w:p>
            <w:r/>
            <w:r>
              <w:rPr>
                <w:rFonts w:ascii="Times New Roman" w:hAnsi="Times New Roman"/>
                <w:b w:val="0"/>
                <w:sz w:val="20"/>
              </w:rPr>
              <w:t>–</w:t>
            </w:r>
          </w:p>
        </w:tc>
      </w:tr>
      <w:tr>
        <w:tc>
          <w:tcPr>
            <w:tcW w:type="dxa" w:w="2304"/>
          </w:tcPr>
          <w:p>
            <w:r/>
            <w:r>
              <w:rPr>
                <w:rFonts w:ascii="Times New Roman" w:hAnsi="Times New Roman"/>
                <w:b w:val="0"/>
                <w:sz w:val="20"/>
              </w:rPr>
              <w:t>LLM weak-labelled subset</w:t>
            </w:r>
          </w:p>
        </w:tc>
        <w:tc>
          <w:tcPr>
            <w:tcW w:type="dxa" w:w="1440"/>
          </w:tcPr>
          <w:p>
            <w:r/>
            <w:r>
              <w:rPr>
                <w:rFonts w:ascii="Times New Roman" w:hAnsi="Times New Roman"/>
                <w:b w:val="0"/>
                <w:sz w:val="20"/>
              </w:rPr>
              <w:t>49,982</w:t>
            </w:r>
          </w:p>
        </w:tc>
        <w:tc>
          <w:tcPr>
            <w:tcW w:type="dxa" w:w="1872"/>
          </w:tcPr>
          <w:p>
            <w:r/>
            <w:r>
              <w:rPr>
                <w:rFonts w:ascii="Times New Roman" w:hAnsi="Times New Roman"/>
                <w:b w:val="0"/>
                <w:sz w:val="20"/>
              </w:rPr>
              <w:t>49,982</w:t>
            </w:r>
          </w:p>
        </w:tc>
        <w:tc>
          <w:tcPr>
            <w:tcW w:type="dxa" w:w="1152"/>
          </w:tcPr>
          <w:p>
            <w:r/>
            <w:r>
              <w:rPr>
                <w:rFonts w:ascii="Times New Roman" w:hAnsi="Times New Roman"/>
                <w:b w:val="0"/>
                <w:sz w:val="20"/>
              </w:rPr>
              <w:t>–</w:t>
            </w:r>
          </w:p>
        </w:tc>
        <w:tc>
          <w:tcPr>
            <w:tcW w:type="dxa" w:w="864"/>
          </w:tcPr>
          <w:p>
            <w:r/>
            <w:r>
              <w:rPr>
                <w:rFonts w:ascii="Times New Roman" w:hAnsi="Times New Roman"/>
                <w:b w:val="0"/>
                <w:sz w:val="20"/>
              </w:rPr>
              <w:t>–</w:t>
            </w:r>
          </w:p>
        </w:tc>
        <w:tc>
          <w:tcPr>
            <w:tcW w:type="dxa" w:w="1152"/>
          </w:tcPr>
          <w:p>
            <w:r/>
            <w:r>
              <w:rPr>
                <w:rFonts w:ascii="Times New Roman" w:hAnsi="Times New Roman"/>
                <w:b w:val="0"/>
                <w:sz w:val="20"/>
              </w:rPr>
              <w:t>–</w:t>
            </w:r>
          </w:p>
        </w:tc>
      </w:tr>
    </w:tbl>
    <w:p/>
    <w:p>
      <w:pPr>
        <w:jc w:val="both"/>
      </w:pPr>
      <w:r>
        <w:rPr>
          <w:rFonts w:ascii="Times New Roman" w:hAnsi="Times New Roman"/>
          <w:b w:val="0"/>
          <w:sz w:val="24"/>
        </w:rPr>
        <w:t>The training subset is used for the purpose of encoder fine-tuning, concept-bottleneck and graph-residual optimisation, and ordinal cutpoint estimation during framework development. The validation subset is used for monitoring the learning process, selecting the checkpoint by minimum validation loss, tuning the per-symptom decision thresholds and applying early stopping, in such a way that the final test data is never involved in parameter or threshold optimisation. The independent test subset is used for the evaluation of the framework's ability to identify clinical symptoms, estimate graded severity and risk, and maintain calibration under class imbalance. The same subsets are used both for the proposed framework and its component-wise ablations, and additionally for all re-trained baselines and comparison models, for the purpose of making a fair comparison. It should be noted that the suicide-risk partition is markedly smaller than the others, comprising 340 training and 74 test instances across five ordinal levels, and the consequences of this scarcity for the interpretation of risk metrics are quantified explicitly in Section 4. In addition to the gold-labelled partition, the unlabelled pool of 1,017,959 posts supports the weak-supervision component, of which a stratified subsample of 49,982 posts receives calibrated large language model labels for the eleven symptoms that no constituent corpus annotates, with controls capped at fifteen per cent of the subsample so that rare conditions are not swamped. Consequently, the harmonised corpus provides item-level symptom annotation, graded severity, clinician-coded risk, perceived stress and author provenance required for the SymptoGraph-LLM framework development, while the unlabelled pool supports calibrated weak supervision and the measurement of the labelling model's per-symptom noise channel.</w:t>
      </w:r>
    </w:p>
    <w:p>
      <w:pPr>
        <w:jc w:val="both"/>
      </w:pPr>
      <w:r>
        <w:rPr>
          <w:rFonts w:ascii="Times New Roman" w:hAnsi="Times New Roman"/>
          <w:b/>
          <w:sz w:val="24"/>
        </w:rPr>
        <w:t>3.2 Clinical Concept Bottleneck with Definition-Initialised Attention</w:t>
      </w:r>
    </w:p>
    <w:p>
      <w:pPr>
        <w:jc w:val="both"/>
      </w:pPr>
      <w:r>
        <w:rPr>
          <w:rFonts w:ascii="Times New Roman" w:hAnsi="Times New Roman"/>
          <w:b w:val="0"/>
          <w:sz w:val="24"/>
        </w:rPr>
        <w:t>The first component of the framework projects the encoded text onto the clinical symptom space and forces every subsequent prediction through that projection. A domain-pretrained transformer encoder produces contextual token representations, over which twenty-two learnable attention queries, one per symptom, compute an independent attention distribution. The resulting evidence vector for each symptom is scored by its own scoring vector, yielding a concept logit per symptom. Two design choices are load-bearing. First, each symptom query is initialised from the sentence embedding of that symptom's clinical definition rather than randomly, so attention begins from clinical meaning and the association between a query and its symptom is established before any gradient is applied. Second, each symptom receives an independent scoring vector rather than sharing a single projection, because a shared projection leaves each symptom only a scalar rescaling of one common direction, which is not a concept bottleneck and was observed during development to collapse the symptom head entirely. The severity, risk and stress heads then read a concept-gated summary of the attended evidence, in which each symptom's evidence vector is weighted by that symptom's activation, so the heads observe only what the concepts attended to while retaining sufficient representational width to estimate graded outcomes.</w:t>
      </w:r>
    </w:p>
    <w:p>
      <w:pPr>
        <w:jc w:val="both"/>
      </w:pPr>
      <w:r>
        <w:rPr>
          <w:rFonts w:ascii="Times New Roman" w:hAnsi="Times New Roman"/>
          <w:b/>
          <w:sz w:val="24"/>
        </w:rPr>
        <w:t>3.3 Symptom-Disorder Comorbidity Graph</w:t>
      </w:r>
    </w:p>
    <w:p>
      <w:pPr>
        <w:jc w:val="both"/>
      </w:pPr>
      <w:r>
        <w:rPr>
          <w:rFonts w:ascii="Times New Roman" w:hAnsi="Times New Roman"/>
          <w:b w:val="0"/>
          <w:sz w:val="24"/>
        </w:rPr>
        <w:t>The second component propagates evidence between clinical constructs. A graph is constructed whose nodes comprise the twenty-two symptoms together with the disorder categories observed in the corpus, and whose adjacency is the sum of a fixed prior and a learned residual under an L1 penalty, so that the data may add or suppress edges while remaining anchored to clinical knowledge. The symptom-disorder block of the prior is authored from DSM-5 criteria. The disorder-disorder block is estimated from author co-membership across the unlabelled pool as a conditional co-membership probability rather than as pointwise mutual information, because the mean number of distinct conditions per author in this corpus is 1.125, which bounds the attainable lift below unity and causes a pointwise mutual information matrix to vanish identically. The estimated edges are clinically plausible, with the strongest comorbid associations holding between bipolar disorder and schizophrenia, between borderline personality disorder and eating disorders, and between attention-deficit hyperactivity disorder and autism. Message passing applies a non-negativity constraint to the summed adjacency before symmetric normalisation and inserts layer normalisation after each residual step, because an unconstrained learned residual can drive the degree of a node towards zero and thereby amplify activations without bound.</w:t>
      </w:r>
    </w:p>
    <w:p>
      <w:pPr>
        <w:jc w:val="both"/>
      </w:pPr>
      <w:r>
        <w:rPr>
          <w:rFonts w:ascii="Times New Roman" w:hAnsi="Times New Roman"/>
          <w:b/>
          <w:sz w:val="24"/>
        </w:rPr>
        <w:t>3.4 Instrument-Grounded Monotone Ordinal Head</w:t>
      </w:r>
    </w:p>
    <w:p>
      <w:pPr>
        <w:jc w:val="both"/>
      </w:pPr>
      <w:r>
        <w:rPr>
          <w:rFonts w:ascii="Times New Roman" w:hAnsi="Times New Roman"/>
          <w:b w:val="0"/>
          <w:sz w:val="24"/>
        </w:rPr>
        <w:t>The third component estimates the graded outcomes. Depression severity, as operationalised by the PHQ-9, is defined as a threshold function of the sum of its nine item scores, and nine of the twenty-two symptoms in the present label space are exactly those items. An unconstrained linear classifier over the concept vector discards this structure entirely. Instead, a latent distress trait is formed as a weighted sum of symptom activations under non-negative item weights, and each ordinal task is predicted by a cumulative-link model in which the probability of exceeding each level is a logistic function of the trait minus a strictly ordered cutpoint. Three properties follow by construction. The predicted severity is monotone non-decreasing in the presence of any symptom, which is a hard constraint rather than a learned tendency. The ordering between adjacent levels cannot be violated, because the cutpoints are parameterised as a first threshold plus positive increments. And the suicide-risk task reduces to four threshold parameters over a trait that is simultaneously trained by the far more abundant severity annotations, so strength is shared between a data-rich and a data-poor task. The cutpoint spacing at initialisation is a consequential hyperparameter rather than a cosmetic one: in a cumulative-link model an interior class attains a maximum probability of approximately the logistic difference across the spacing, so an insufficient initial spacing renders the interior classes unreachable at any value of the trait, and the spacing adopted here is chosen so that every class is attainable.</w:t>
      </w:r>
    </w:p>
    <w:p>
      <w:pPr>
        <w:jc w:val="both"/>
      </w:pPr>
      <w:r>
        <w:rPr>
          <w:rFonts w:ascii="Times New Roman" w:hAnsi="Times New Roman"/>
          <w:b/>
          <w:sz w:val="24"/>
        </w:rPr>
        <w:t>3.5 Calibrated Weak Supervision with a Per-Symptom Noise Channel</w:t>
      </w:r>
    </w:p>
    <w:p>
      <w:pPr>
        <w:jc w:val="both"/>
      </w:pPr>
      <w:r>
        <w:rPr>
          <w:rFonts w:ascii="Times New Roman" w:hAnsi="Times New Roman"/>
          <w:b w:val="0"/>
          <w:sz w:val="24"/>
        </w:rPr>
        <w:t>The fourth component supplies supervision for the eleven symptoms, predominantly the GAD-7 anxiety items, that no constituent corpus annotates. An instruction-tuned large language model is executed locally, because transmitting these posts to a third-party service would breach the data agreements attached to several of the source corpora, and labels a stratified subsample of 49,982 posts with a verbalised confidence per symptom. The weak rows enter training as a separate stream drawn once per optimisation step rather than being concatenated into the training set, because concatenation inflates the number of steps per epoch, alters the learning-rate schedule and reduces the density of the scarce ordinal labels within each batch, all of which were observed during development to degrade precisely the tasks with the fewest annotations. The confidence values are calibrated by a single temperature fitted against observed agreement on the symptoms that do have gold labels. Crucially, a temperature rescales all labels by the same factor and therefore cannot correct systematic bias, which was measured to be severe and strongly symptom-dependent: across the eleven measurable symptoms the labelling model's true-positive rate ranges from 0.252 to 0.944 and its false-positive rate from 0.065 to 0.745, so that one symptom is recovered in only one case out of four while another is asserted in three quarters of genuine negatives. A per-symptom noise channel is therefore estimated from paired gold and model labels under Laplace smoothing, and training applies a forward correction in which the network predicts the clean probability and the loss is evaluated after passing that probability through the estimated channel. For the eleven symptoms with no gold labels the channel is not identifiable and is pooled within instrument; this is an assumption rather than a measurement and is reported as such, since six of the seven GAD-7 items inherit the channel estimated from a single measurable item.</w:t>
      </w:r>
    </w:p>
    <w:p>
      <w:pPr>
        <w:jc w:val="both"/>
      </w:pPr>
      <w:r>
        <w:rPr>
          <w:rFonts w:ascii="Times New Roman" w:hAnsi="Times New Roman"/>
          <w:b/>
          <w:sz w:val="24"/>
        </w:rPr>
        <w:t>3.6 Training Protocol and Evaluation</w:t>
      </w:r>
    </w:p>
    <w:p>
      <w:pPr>
        <w:jc w:val="both"/>
      </w:pPr>
      <w:r>
        <w:rPr>
          <w:rFonts w:ascii="Times New Roman" w:hAnsi="Times New Roman"/>
          <w:b w:val="0"/>
          <w:sz w:val="24"/>
        </w:rPr>
        <w:t>All models are trained under one shared configuration so that the only quantity varying between conditions is the representation under test. Class imbalance is addressed on two axes: capped inverse-frequency weights are applied to the ordinal cross-entropies, because the depression-severity distribution is dominated by its lowest band and unweighted cross-entropy collapses the ordinal heads onto the majority class, and capped positive weights are applied to the symptom objective, whose per-symptom prevalence is likewise skewed. Per-symptom decision thresholds are tuned on validation data and applied unchanged to the test split. Checkpoint selection uses minimum validation loss rather than an aggregate score, because an aggregate dominated by symptom metrics continues to improve while the ordinal heads memorise their small training partitions, which was observed to select checkpoints at approximately twice the minimum validation loss. Every configuration is replicated across three seeds. Reported differences are assessed by a paired bootstrap over resampled test examples with the same resampled indices applied to both models, and a difference is reported as established only if it attains significance on every seed and preserves its sign on every seed. Per-task bootstrap confidence intervals are reported alongside every metric, because the evaluation partitions differ in size by more than an order of magnitude between tasks. The shared configuration is summarised in Table 4.</w:t>
      </w:r>
    </w:p>
    <w:p>
      <w:pPr>
        <w:jc w:val="both"/>
      </w:pPr>
      <w:r>
        <w:rPr>
          <w:rFonts w:ascii="Times New Roman" w:hAnsi="Times New Roman"/>
          <w:b/>
          <w:sz w:val="24"/>
        </w:rPr>
        <w:t>Table 4. Shared training configuration applied to the proposed framework, its ablations, the baselines and the comparison models.</w:t>
      </w:r>
    </w:p>
    <w:tbl>
      <w:tblPr>
        <w:tblStyle w:val="TableGrid"/>
        <w:tblW w:type="auto" w:w="0"/>
        <w:tblLook w:firstColumn="1" w:firstRow="1" w:lastColumn="0" w:lastRow="0" w:noHBand="0" w:noVBand="1" w:val="04A0"/>
      </w:tblPr>
      <w:tblGrid>
        <w:gridCol w:w="3010"/>
        <w:gridCol w:w="3010"/>
        <w:gridCol w:w="3010"/>
      </w:tblGrid>
      <w:tr>
        <w:tc>
          <w:tcPr>
            <w:tcW w:type="dxa" w:w="2448"/>
          </w:tcPr>
          <w:p>
            <w:r/>
            <w:r>
              <w:rPr>
                <w:rFonts w:ascii="Times New Roman" w:hAnsi="Times New Roman"/>
                <w:b/>
                <w:sz w:val="20"/>
              </w:rPr>
              <w:t>Setting</w:t>
            </w:r>
          </w:p>
        </w:tc>
        <w:tc>
          <w:tcPr>
            <w:tcW w:type="dxa" w:w="3024"/>
          </w:tcPr>
          <w:p>
            <w:r/>
            <w:r>
              <w:rPr>
                <w:rFonts w:ascii="Times New Roman" w:hAnsi="Times New Roman"/>
                <w:b/>
                <w:sz w:val="20"/>
              </w:rPr>
              <w:t>Value</w:t>
            </w:r>
          </w:p>
        </w:tc>
        <w:tc>
          <w:tcPr>
            <w:tcW w:type="dxa" w:w="3456"/>
          </w:tcPr>
          <w:p>
            <w:r/>
            <w:r>
              <w:rPr>
                <w:rFonts w:ascii="Times New Roman" w:hAnsi="Times New Roman"/>
                <w:b/>
                <w:sz w:val="20"/>
              </w:rPr>
              <w:t>Rationale</w:t>
            </w:r>
          </w:p>
        </w:tc>
      </w:tr>
      <w:tr>
        <w:tc>
          <w:tcPr>
            <w:tcW w:type="dxa" w:w="2448"/>
          </w:tcPr>
          <w:p>
            <w:r/>
            <w:r>
              <w:rPr>
                <w:rFonts w:ascii="Times New Roman" w:hAnsi="Times New Roman"/>
                <w:b w:val="0"/>
                <w:sz w:val="20"/>
              </w:rPr>
              <w:t>Encoder</w:t>
            </w:r>
          </w:p>
        </w:tc>
        <w:tc>
          <w:tcPr>
            <w:tcW w:type="dxa" w:w="3024"/>
          </w:tcPr>
          <w:p>
            <w:r/>
            <w:r>
              <w:rPr>
                <w:rFonts w:ascii="Times New Roman" w:hAnsi="Times New Roman"/>
                <w:b w:val="0"/>
                <w:sz w:val="20"/>
              </w:rPr>
              <w:t>MentalRoBERTa (domain-pretrained, 125M)</w:t>
            </w:r>
          </w:p>
        </w:tc>
        <w:tc>
          <w:tcPr>
            <w:tcW w:type="dxa" w:w="3456"/>
          </w:tcPr>
          <w:p>
            <w:r/>
            <w:r>
              <w:rPr>
                <w:rFonts w:ascii="Times New Roman" w:hAnsi="Times New Roman"/>
                <w:b w:val="0"/>
                <w:sz w:val="20"/>
              </w:rPr>
              <w:t>Strict loading; a silent substitution would misreport the comparison</w:t>
            </w:r>
          </w:p>
        </w:tc>
      </w:tr>
      <w:tr>
        <w:tc>
          <w:tcPr>
            <w:tcW w:type="dxa" w:w="2448"/>
          </w:tcPr>
          <w:p>
            <w:r/>
            <w:r>
              <w:rPr>
                <w:rFonts w:ascii="Times New Roman" w:hAnsi="Times New Roman"/>
                <w:b w:val="0"/>
                <w:sz w:val="20"/>
              </w:rPr>
              <w:t>Maximum sequence length</w:t>
            </w:r>
          </w:p>
        </w:tc>
        <w:tc>
          <w:tcPr>
            <w:tcW w:type="dxa" w:w="3024"/>
          </w:tcPr>
          <w:p>
            <w:r/>
            <w:r>
              <w:rPr>
                <w:rFonts w:ascii="Times New Roman" w:hAnsi="Times New Roman"/>
                <w:b w:val="0"/>
                <w:sz w:val="20"/>
              </w:rPr>
              <w:t>192 tokens</w:t>
            </w:r>
          </w:p>
        </w:tc>
        <w:tc>
          <w:tcPr>
            <w:tcW w:type="dxa" w:w="3456"/>
          </w:tcPr>
          <w:p>
            <w:r/>
            <w:r>
              <w:rPr>
                <w:rFonts w:ascii="Times New Roman" w:hAnsi="Times New Roman"/>
                <w:b w:val="0"/>
                <w:sz w:val="20"/>
              </w:rPr>
              <w:t>Covers approximately 80% of posts; median 73 words</w:t>
            </w:r>
          </w:p>
        </w:tc>
      </w:tr>
      <w:tr>
        <w:tc>
          <w:tcPr>
            <w:tcW w:type="dxa" w:w="2448"/>
          </w:tcPr>
          <w:p>
            <w:r/>
            <w:r>
              <w:rPr>
                <w:rFonts w:ascii="Times New Roman" w:hAnsi="Times New Roman"/>
                <w:b w:val="0"/>
                <w:sz w:val="20"/>
              </w:rPr>
              <w:t>Batch size</w:t>
            </w:r>
          </w:p>
        </w:tc>
        <w:tc>
          <w:tcPr>
            <w:tcW w:type="dxa" w:w="3024"/>
          </w:tcPr>
          <w:p>
            <w:r/>
            <w:r>
              <w:rPr>
                <w:rFonts w:ascii="Times New Roman" w:hAnsi="Times New Roman"/>
                <w:b w:val="0"/>
                <w:sz w:val="20"/>
              </w:rPr>
              <w:t>32</w:t>
            </w:r>
          </w:p>
        </w:tc>
        <w:tc>
          <w:tcPr>
            <w:tcW w:type="dxa" w:w="3456"/>
          </w:tcPr>
          <w:p>
            <w:r/>
            <w:r>
              <w:rPr>
                <w:rFonts w:ascii="Times New Roman" w:hAnsi="Times New Roman"/>
                <w:b w:val="0"/>
                <w:sz w:val="20"/>
              </w:rPr>
              <w:t>Identical across all conditions</w:t>
            </w:r>
          </w:p>
        </w:tc>
      </w:tr>
      <w:tr>
        <w:tc>
          <w:tcPr>
            <w:tcW w:type="dxa" w:w="2448"/>
          </w:tcPr>
          <w:p>
            <w:r/>
            <w:r>
              <w:rPr>
                <w:rFonts w:ascii="Times New Roman" w:hAnsi="Times New Roman"/>
                <w:b w:val="0"/>
                <w:sz w:val="20"/>
              </w:rPr>
              <w:t>Learning rate</w:t>
            </w:r>
          </w:p>
        </w:tc>
        <w:tc>
          <w:tcPr>
            <w:tcW w:type="dxa" w:w="3024"/>
          </w:tcPr>
          <w:p>
            <w:r/>
            <w:r>
              <w:rPr>
                <w:rFonts w:ascii="Times New Roman" w:hAnsi="Times New Roman"/>
                <w:b w:val="0"/>
                <w:sz w:val="20"/>
              </w:rPr>
              <w:t>2e-5 encoder / 1e-3 heads</w:t>
            </w:r>
          </w:p>
        </w:tc>
        <w:tc>
          <w:tcPr>
            <w:tcW w:type="dxa" w:w="3456"/>
          </w:tcPr>
          <w:p>
            <w:r/>
            <w:r>
              <w:rPr>
                <w:rFonts w:ascii="Times New Roman" w:hAnsi="Times New Roman"/>
                <w:b w:val="0"/>
                <w:sz w:val="20"/>
              </w:rPr>
              <w:t>Pretrained encoder and randomly initialised heads require different rates</w:t>
            </w:r>
          </w:p>
        </w:tc>
      </w:tr>
      <w:tr>
        <w:tc>
          <w:tcPr>
            <w:tcW w:type="dxa" w:w="2448"/>
          </w:tcPr>
          <w:p>
            <w:r/>
            <w:r>
              <w:rPr>
                <w:rFonts w:ascii="Times New Roman" w:hAnsi="Times New Roman"/>
                <w:b w:val="0"/>
                <w:sz w:val="20"/>
              </w:rPr>
              <w:t>Schedule</w:t>
            </w:r>
          </w:p>
        </w:tc>
        <w:tc>
          <w:tcPr>
            <w:tcW w:type="dxa" w:w="3024"/>
          </w:tcPr>
          <w:p>
            <w:r/>
            <w:r>
              <w:rPr>
                <w:rFonts w:ascii="Times New Roman" w:hAnsi="Times New Roman"/>
                <w:b w:val="0"/>
                <w:sz w:val="20"/>
              </w:rPr>
              <w:t>Linear warmup and decay, 10% warmup</w:t>
            </w:r>
          </w:p>
        </w:tc>
        <w:tc>
          <w:tcPr>
            <w:tcW w:type="dxa" w:w="3456"/>
          </w:tcPr>
          <w:p>
            <w:r/>
            <w:r>
              <w:rPr>
                <w:rFonts w:ascii="Times New Roman" w:hAnsi="Times New Roman"/>
                <w:b w:val="0"/>
                <w:sz w:val="20"/>
              </w:rPr>
              <w:t>Identical across all conditions</w:t>
            </w:r>
          </w:p>
        </w:tc>
      </w:tr>
      <w:tr>
        <w:tc>
          <w:tcPr>
            <w:tcW w:type="dxa" w:w="2448"/>
          </w:tcPr>
          <w:p>
            <w:r/>
            <w:r>
              <w:rPr>
                <w:rFonts w:ascii="Times New Roman" w:hAnsi="Times New Roman"/>
                <w:b w:val="0"/>
                <w:sz w:val="20"/>
              </w:rPr>
              <w:t>Epochs</w:t>
            </w:r>
          </w:p>
        </w:tc>
        <w:tc>
          <w:tcPr>
            <w:tcW w:type="dxa" w:w="3024"/>
          </w:tcPr>
          <w:p>
            <w:r/>
            <w:r>
              <w:rPr>
                <w:rFonts w:ascii="Times New Roman" w:hAnsi="Times New Roman"/>
                <w:b w:val="0"/>
                <w:sz w:val="20"/>
              </w:rPr>
              <w:t>8, early stopping patience 2</w:t>
            </w:r>
          </w:p>
        </w:tc>
        <w:tc>
          <w:tcPr>
            <w:tcW w:type="dxa" w:w="3456"/>
          </w:tcPr>
          <w:p>
            <w:r/>
            <w:r>
              <w:rPr>
                <w:rFonts w:ascii="Times New Roman" w:hAnsi="Times New Roman"/>
                <w:b w:val="0"/>
                <w:sz w:val="20"/>
              </w:rPr>
              <w:t>Stopping rule is minimum validation loss</w:t>
            </w:r>
          </w:p>
        </w:tc>
      </w:tr>
      <w:tr>
        <w:tc>
          <w:tcPr>
            <w:tcW w:type="dxa" w:w="2448"/>
          </w:tcPr>
          <w:p>
            <w:r/>
            <w:r>
              <w:rPr>
                <w:rFonts w:ascii="Times New Roman" w:hAnsi="Times New Roman"/>
                <w:b w:val="0"/>
                <w:sz w:val="20"/>
              </w:rPr>
              <w:t>Checkpoint selection</w:t>
            </w:r>
          </w:p>
        </w:tc>
        <w:tc>
          <w:tcPr>
            <w:tcW w:type="dxa" w:w="3024"/>
          </w:tcPr>
          <w:p>
            <w:r/>
            <w:r>
              <w:rPr>
                <w:rFonts w:ascii="Times New Roman" w:hAnsi="Times New Roman"/>
                <w:b w:val="0"/>
                <w:sz w:val="20"/>
              </w:rPr>
              <w:t>Minimum validation loss</w:t>
            </w:r>
          </w:p>
        </w:tc>
        <w:tc>
          <w:tcPr>
            <w:tcW w:type="dxa" w:w="3456"/>
          </w:tcPr>
          <w:p>
            <w:r/>
            <w:r>
              <w:rPr>
                <w:rFonts w:ascii="Times New Roman" w:hAnsi="Times New Roman"/>
                <w:b w:val="0"/>
                <w:sz w:val="20"/>
              </w:rPr>
              <w:t>An aggregate score dominated by one task selects overfitted epochs</w:t>
            </w:r>
          </w:p>
        </w:tc>
      </w:tr>
      <w:tr>
        <w:tc>
          <w:tcPr>
            <w:tcW w:type="dxa" w:w="2448"/>
          </w:tcPr>
          <w:p>
            <w:r/>
            <w:r>
              <w:rPr>
                <w:rFonts w:ascii="Times New Roman" w:hAnsi="Times New Roman"/>
                <w:b w:val="0"/>
                <w:sz w:val="20"/>
              </w:rPr>
              <w:t>Ordinal class weights</w:t>
            </w:r>
          </w:p>
        </w:tc>
        <w:tc>
          <w:tcPr>
            <w:tcW w:type="dxa" w:w="3024"/>
          </w:tcPr>
          <w:p>
            <w:r/>
            <w:r>
              <w:rPr>
                <w:rFonts w:ascii="Times New Roman" w:hAnsi="Times New Roman"/>
                <w:b w:val="0"/>
                <w:sz w:val="20"/>
              </w:rPr>
              <w:t>Capped inverse frequency</w:t>
            </w:r>
          </w:p>
        </w:tc>
        <w:tc>
          <w:tcPr>
            <w:tcW w:type="dxa" w:w="3456"/>
          </w:tcPr>
          <w:p>
            <w:r/>
            <w:r>
              <w:rPr>
                <w:rFonts w:ascii="Times New Roman" w:hAnsi="Times New Roman"/>
                <w:b w:val="0"/>
                <w:sz w:val="20"/>
              </w:rPr>
              <w:t>Severity is dominated by its lowest band; risk is similarly skewed</w:t>
            </w:r>
          </w:p>
        </w:tc>
      </w:tr>
      <w:tr>
        <w:tc>
          <w:tcPr>
            <w:tcW w:type="dxa" w:w="2448"/>
          </w:tcPr>
          <w:p>
            <w:r/>
            <w:r>
              <w:rPr>
                <w:rFonts w:ascii="Times New Roman" w:hAnsi="Times New Roman"/>
                <w:b w:val="0"/>
                <w:sz w:val="20"/>
              </w:rPr>
              <w:t>Symptom positive weights</w:t>
            </w:r>
          </w:p>
        </w:tc>
        <w:tc>
          <w:tcPr>
            <w:tcW w:type="dxa" w:w="3024"/>
          </w:tcPr>
          <w:p>
            <w:r/>
            <w:r>
              <w:rPr>
                <w:rFonts w:ascii="Times New Roman" w:hAnsi="Times New Roman"/>
                <w:b w:val="0"/>
                <w:sz w:val="20"/>
              </w:rPr>
              <w:t>Capped inverse frequency, cap 10</w:t>
            </w:r>
          </w:p>
        </w:tc>
        <w:tc>
          <w:tcPr>
            <w:tcW w:type="dxa" w:w="3456"/>
          </w:tcPr>
          <w:p>
            <w:r/>
            <w:r>
              <w:rPr>
                <w:rFonts w:ascii="Times New Roman" w:hAnsi="Times New Roman"/>
                <w:b w:val="0"/>
                <w:sz w:val="20"/>
              </w:rPr>
              <w:t>Per-symptom prevalence is skewed</w:t>
            </w:r>
          </w:p>
        </w:tc>
      </w:tr>
      <w:tr>
        <w:tc>
          <w:tcPr>
            <w:tcW w:type="dxa" w:w="2448"/>
          </w:tcPr>
          <w:p>
            <w:r/>
            <w:r>
              <w:rPr>
                <w:rFonts w:ascii="Times New Roman" w:hAnsi="Times New Roman"/>
                <w:b w:val="0"/>
                <w:sz w:val="20"/>
              </w:rPr>
              <w:t>Decision thresholds</w:t>
            </w:r>
          </w:p>
        </w:tc>
        <w:tc>
          <w:tcPr>
            <w:tcW w:type="dxa" w:w="3024"/>
          </w:tcPr>
          <w:p>
            <w:r/>
            <w:r>
              <w:rPr>
                <w:rFonts w:ascii="Times New Roman" w:hAnsi="Times New Roman"/>
                <w:b w:val="0"/>
                <w:sz w:val="20"/>
              </w:rPr>
              <w:t>Per symptom, tuned on validation</w:t>
            </w:r>
          </w:p>
        </w:tc>
        <w:tc>
          <w:tcPr>
            <w:tcW w:type="dxa" w:w="3456"/>
          </w:tcPr>
          <w:p>
            <w:r/>
            <w:r>
              <w:rPr>
                <w:rFonts w:ascii="Times New Roman" w:hAnsi="Times New Roman"/>
                <w:b w:val="0"/>
                <w:sz w:val="20"/>
              </w:rPr>
              <w:t>Applied unchanged to the test split</w:t>
            </w:r>
          </w:p>
        </w:tc>
      </w:tr>
      <w:tr>
        <w:tc>
          <w:tcPr>
            <w:tcW w:type="dxa" w:w="2448"/>
          </w:tcPr>
          <w:p>
            <w:r/>
            <w:r>
              <w:rPr>
                <w:rFonts w:ascii="Times New Roman" w:hAnsi="Times New Roman"/>
                <w:b w:val="0"/>
                <w:sz w:val="20"/>
              </w:rPr>
              <w:t>Label smoothing</w:t>
            </w:r>
          </w:p>
        </w:tc>
        <w:tc>
          <w:tcPr>
            <w:tcW w:type="dxa" w:w="3024"/>
          </w:tcPr>
          <w:p>
            <w:r/>
            <w:r>
              <w:rPr>
                <w:rFonts w:ascii="Times New Roman" w:hAnsi="Times New Roman"/>
                <w:b w:val="0"/>
                <w:sz w:val="20"/>
              </w:rPr>
              <w:t>0.05 on ordinal heads</w:t>
            </w:r>
          </w:p>
        </w:tc>
        <w:tc>
          <w:tcPr>
            <w:tcW w:type="dxa" w:w="3456"/>
          </w:tcPr>
          <w:p>
            <w:r/>
            <w:r>
              <w:rPr>
                <w:rFonts w:ascii="Times New Roman" w:hAnsi="Times New Roman"/>
                <w:b w:val="0"/>
                <w:sz w:val="20"/>
              </w:rPr>
              <w:t>Mild regularisation of the small ordinal partitions</w:t>
            </w:r>
          </w:p>
        </w:tc>
      </w:tr>
      <w:tr>
        <w:tc>
          <w:tcPr>
            <w:tcW w:type="dxa" w:w="2448"/>
          </w:tcPr>
          <w:p>
            <w:r/>
            <w:r>
              <w:rPr>
                <w:rFonts w:ascii="Times New Roman" w:hAnsi="Times New Roman"/>
                <w:b w:val="0"/>
                <w:sz w:val="20"/>
              </w:rPr>
              <w:t>Seeds</w:t>
            </w:r>
          </w:p>
        </w:tc>
        <w:tc>
          <w:tcPr>
            <w:tcW w:type="dxa" w:w="3024"/>
          </w:tcPr>
          <w:p>
            <w:r/>
            <w:r>
              <w:rPr>
                <w:rFonts w:ascii="Times New Roman" w:hAnsi="Times New Roman"/>
                <w:b w:val="0"/>
                <w:sz w:val="20"/>
              </w:rPr>
              <w:t>3</w:t>
            </w:r>
          </w:p>
        </w:tc>
        <w:tc>
          <w:tcPr>
            <w:tcW w:type="dxa" w:w="3456"/>
          </w:tcPr>
          <w:p>
            <w:r/>
            <w:r>
              <w:rPr>
                <w:rFonts w:ascii="Times New Roman" w:hAnsi="Times New Roman"/>
                <w:b w:val="0"/>
                <w:sz w:val="20"/>
              </w:rPr>
              <w:t>Minimum for a variance estimate</w:t>
            </w:r>
          </w:p>
        </w:tc>
      </w:tr>
      <w:tr>
        <w:tc>
          <w:tcPr>
            <w:tcW w:type="dxa" w:w="2448"/>
          </w:tcPr>
          <w:p>
            <w:r/>
            <w:r>
              <w:rPr>
                <w:rFonts w:ascii="Times New Roman" w:hAnsi="Times New Roman"/>
                <w:b w:val="0"/>
                <w:sz w:val="20"/>
              </w:rPr>
              <w:t>Significance</w:t>
            </w:r>
          </w:p>
        </w:tc>
        <w:tc>
          <w:tcPr>
            <w:tcW w:type="dxa" w:w="3024"/>
          </w:tcPr>
          <w:p>
            <w:r/>
            <w:r>
              <w:rPr>
                <w:rFonts w:ascii="Times New Roman" w:hAnsi="Times New Roman"/>
                <w:b w:val="0"/>
                <w:sz w:val="20"/>
              </w:rPr>
              <w:t>Paired bootstrap, 1,000 resamples</w:t>
            </w:r>
          </w:p>
        </w:tc>
        <w:tc>
          <w:tcPr>
            <w:tcW w:type="dxa" w:w="3456"/>
          </w:tcPr>
          <w:p>
            <w:r/>
            <w:r>
              <w:rPr>
                <w:rFonts w:ascii="Times New Roman" w:hAnsi="Times New Roman"/>
                <w:b w:val="0"/>
                <w:sz w:val="20"/>
              </w:rPr>
              <w:t>Same resampled examples on both sides of every comparison</w:t>
            </w:r>
          </w:p>
        </w:tc>
      </w:tr>
    </w:tbl>
    <w:p/>
    <w:p>
      <w:pPr>
        <w:jc w:val="both"/>
      </w:pPr>
      <w:r>
        <w:rPr>
          <w:rFonts w:ascii="Times New Roman" w:hAnsi="Times New Roman"/>
          <w:b/>
          <w:sz w:val="24"/>
        </w:rPr>
        <w:t>4. Results and Discussion</w:t>
      </w:r>
    </w:p>
    <w:p>
      <w:pPr>
        <w:jc w:val="both"/>
      </w:pPr>
      <w:r>
        <w:rPr>
          <w:rFonts w:ascii="Times New Roman" w:hAnsi="Times New Roman"/>
          <w:b w:val="0"/>
          <w:sz w:val="24"/>
        </w:rPr>
        <w:t>This section reports the experimental evaluation of the proposed SymptoGraph-LLM framework. All numerical results in this section are placeholders of the form X.XXX and are to be replaced by the corresponding entries produced by the evaluation notebooks; the mapping from each table and figure to the file that supplies its values is recorded in the accompanying placeholder index. Dataset counts, corpus overlap measurements and labelling-model noise-channel estimates reported in Section 3 are measured quantities and are not placeholders.</w:t>
      </w:r>
    </w:p>
    <w:p>
      <w:pPr>
        <w:jc w:val="both"/>
      </w:pPr>
      <w:r>
        <w:rPr>
          <w:rFonts w:ascii="Times New Roman" w:hAnsi="Times New Roman"/>
          <w:b/>
          <w:sz w:val="24"/>
        </w:rPr>
        <w:t>4.1 Comparison with Baselines and Recent Architectures</w:t>
      </w:r>
    </w:p>
    <w:p>
      <w:pPr>
        <w:jc w:val="both"/>
      </w:pPr>
      <w:r>
        <w:rPr>
          <w:rFonts w:ascii="Times New Roman" w:hAnsi="Times New Roman"/>
          <w:b w:val="0"/>
          <w:sz w:val="24"/>
        </w:rPr>
        <w:t>The proposed framework is compared against three baselines and three architectures re-implemented from the recent literature. The baselines comprise a term-frequency representation with a multilayer perceptron, a bidirectional recurrent encoder with attention, and a fine-tuned domain-pretrained transformer. The comparison models are a transformer stacking ensemble for symptom-level classification following Suksam et al. [11], a graph neural network over a post graph estimated from semantic similarity and author relations following Rehman et al. [18], and a multi-perspective prompt ensemble with perturbation-based self-supervision following Hsieh et al. [21]. It must be stated explicitly that these are re-implementations of the architectures described in those works, adapted to the twenty-two symptom label space and four-task output of the present study and trained under the shared protocol of Table 4; they are not reproductions of the published systems and their results are not comparable with the figures reported in the original papers. Two components of the cited designs cannot be exercised on the present data and are reported as out of scope rather than as failures: the window-based screening stage of [11] requires several posts per author within a fixed observation window, whereas the gold-labelled partition here has a median of one post per author, and the post-hoc attribution analyses of [18] do not affect any metric in this comparison. The results are reported in Table 5 and visualised in Figure 2. The proposed framework attains X.XXX symptom macro-AUROC against X.XXX for the strongest comparison model, a difference of X.XXX absolute, while the stress task saturates near X.XXX for all conditions.</w:t>
      </w:r>
    </w:p>
    <w:p>
      <w:pPr>
        <w:jc w:val="both"/>
      </w:pPr>
      <w:r>
        <w:rPr>
          <w:rFonts w:ascii="Times New Roman" w:hAnsi="Times New Roman"/>
          <w:b/>
          <w:sz w:val="24"/>
        </w:rPr>
        <w:t>Table 5. Performance of the proposed framework against the baselines and the re-implemented comparison models, reported as mean ± standard deviation over three seeds on the held-out test split.</w:t>
      </w:r>
    </w:p>
    <w:tbl>
      <w:tblPr>
        <w:tblStyle w:val="TableGrid"/>
        <w:tblW w:type="auto" w:w="0"/>
        <w:tblLook w:firstColumn="1" w:firstRow="1" w:lastColumn="0" w:lastRow="0" w:noHBand="0" w:noVBand="1" w:val="04A0"/>
      </w:tblPr>
      <w:tblGrid>
        <w:gridCol w:w="1290"/>
        <w:gridCol w:w="1290"/>
        <w:gridCol w:w="1290"/>
        <w:gridCol w:w="1290"/>
        <w:gridCol w:w="1290"/>
        <w:gridCol w:w="1290"/>
        <w:gridCol w:w="1290"/>
      </w:tblGrid>
      <w:tr>
        <w:tc>
          <w:tcPr>
            <w:tcW w:type="dxa" w:w="2448"/>
          </w:tcPr>
          <w:p>
            <w:r/>
            <w:r>
              <w:rPr>
                <w:rFonts w:ascii="Times New Roman" w:hAnsi="Times New Roman"/>
                <w:b/>
                <w:sz w:val="20"/>
              </w:rPr>
              <w:t>Model</w:t>
            </w:r>
          </w:p>
        </w:tc>
        <w:tc>
          <w:tcPr>
            <w:tcW w:type="dxa" w:w="1368"/>
          </w:tcPr>
          <w:p>
            <w:r/>
            <w:r>
              <w:rPr>
                <w:rFonts w:ascii="Times New Roman" w:hAnsi="Times New Roman"/>
                <w:b/>
                <w:sz w:val="20"/>
              </w:rPr>
              <w:t>Symptom macro-F1</w:t>
            </w:r>
          </w:p>
        </w:tc>
        <w:tc>
          <w:tcPr>
            <w:tcW w:type="dxa" w:w="1368"/>
          </w:tcPr>
          <w:p>
            <w:r/>
            <w:r>
              <w:rPr>
                <w:rFonts w:ascii="Times New Roman" w:hAnsi="Times New Roman"/>
                <w:b/>
                <w:sz w:val="20"/>
              </w:rPr>
              <w:t>Symptom macro-AUROC</w:t>
            </w:r>
          </w:p>
        </w:tc>
        <w:tc>
          <w:tcPr>
            <w:tcW w:type="dxa" w:w="1152"/>
          </w:tcPr>
          <w:p>
            <w:r/>
            <w:r>
              <w:rPr>
                <w:rFonts w:ascii="Times New Roman" w:hAnsi="Times New Roman"/>
                <w:b/>
                <w:sz w:val="20"/>
              </w:rPr>
              <w:t>Severity QWK</w:t>
            </w:r>
          </w:p>
        </w:tc>
        <w:tc>
          <w:tcPr>
            <w:tcW w:type="dxa" w:w="1008"/>
          </w:tcPr>
          <w:p>
            <w:r/>
            <w:r>
              <w:rPr>
                <w:rFonts w:ascii="Times New Roman" w:hAnsi="Times New Roman"/>
                <w:b/>
                <w:sz w:val="20"/>
              </w:rPr>
              <w:t>Risk QWK</w:t>
            </w:r>
          </w:p>
        </w:tc>
        <w:tc>
          <w:tcPr>
            <w:tcW w:type="dxa" w:w="1152"/>
          </w:tcPr>
          <w:p>
            <w:r/>
            <w:r>
              <w:rPr>
                <w:rFonts w:ascii="Times New Roman" w:hAnsi="Times New Roman"/>
                <w:b/>
                <w:sz w:val="20"/>
              </w:rPr>
              <w:t>Stress AUROC</w:t>
            </w:r>
          </w:p>
        </w:tc>
        <w:tc>
          <w:tcPr>
            <w:tcW w:type="dxa" w:w="864"/>
          </w:tcPr>
          <w:p>
            <w:r/>
            <w:r>
              <w:rPr>
                <w:rFonts w:ascii="Times New Roman" w:hAnsi="Times New Roman"/>
                <w:b/>
                <w:sz w:val="20"/>
              </w:rPr>
              <w:t>Params (M)</w:t>
            </w:r>
          </w:p>
        </w:tc>
      </w:tr>
      <w:tr>
        <w:tc>
          <w:tcPr>
            <w:tcW w:type="dxa" w:w="2448"/>
          </w:tcPr>
          <w:p>
            <w:r/>
            <w:r>
              <w:rPr>
                <w:rFonts w:ascii="Times New Roman" w:hAnsi="Times New Roman"/>
                <w:b w:val="0"/>
                <w:sz w:val="20"/>
              </w:rPr>
              <w:t>TF-IDF + MLP</w:t>
            </w:r>
          </w:p>
        </w:tc>
        <w:tc>
          <w:tcPr>
            <w:tcW w:type="dxa" w:w="1368"/>
          </w:tcPr>
          <w:p>
            <w:r/>
            <w:r>
              <w:rPr>
                <w:rFonts w:ascii="Times New Roman" w:hAnsi="Times New Roman"/>
                <w:b w:val="0"/>
                <w:sz w:val="20"/>
              </w:rPr>
              <w:t>X.XXX ± X.XXX</w:t>
            </w:r>
          </w:p>
        </w:tc>
        <w:tc>
          <w:tcPr>
            <w:tcW w:type="dxa" w:w="1368"/>
          </w:tcPr>
          <w:p>
            <w:r/>
            <w:r>
              <w:rPr>
                <w:rFonts w:ascii="Times New Roman" w:hAnsi="Times New Roman"/>
                <w:b w:val="0"/>
                <w:sz w:val="20"/>
              </w:rPr>
              <w:t>X.XXX ± X.XXX</w:t>
            </w:r>
          </w:p>
        </w:tc>
        <w:tc>
          <w:tcPr>
            <w:tcW w:type="dxa" w:w="1152"/>
          </w:tcPr>
          <w:p>
            <w:r/>
            <w:r>
              <w:rPr>
                <w:rFonts w:ascii="Times New Roman" w:hAnsi="Times New Roman"/>
                <w:b w:val="0"/>
                <w:sz w:val="20"/>
              </w:rPr>
              <w:t>X.XXX ± X.XXX</w:t>
            </w:r>
          </w:p>
        </w:tc>
        <w:tc>
          <w:tcPr>
            <w:tcW w:type="dxa" w:w="1008"/>
          </w:tcPr>
          <w:p>
            <w:r/>
            <w:r>
              <w:rPr>
                <w:rFonts w:ascii="Times New Roman" w:hAnsi="Times New Roman"/>
                <w:b w:val="0"/>
                <w:sz w:val="20"/>
              </w:rPr>
              <w:t>X.XXX ± X.XXX</w:t>
            </w:r>
          </w:p>
        </w:tc>
        <w:tc>
          <w:tcPr>
            <w:tcW w:type="dxa" w:w="1152"/>
          </w:tcPr>
          <w:p>
            <w:r/>
            <w:r>
              <w:rPr>
                <w:rFonts w:ascii="Times New Roman" w:hAnsi="Times New Roman"/>
                <w:b w:val="0"/>
                <w:sz w:val="20"/>
              </w:rPr>
              <w:t>X.XXX ± X.XXX</w:t>
            </w:r>
          </w:p>
        </w:tc>
        <w:tc>
          <w:tcPr>
            <w:tcW w:type="dxa" w:w="864"/>
          </w:tcPr>
          <w:p>
            <w:r/>
            <w:r>
              <w:rPr>
                <w:rFonts w:ascii="Times New Roman" w:hAnsi="Times New Roman"/>
                <w:b w:val="0"/>
                <w:sz w:val="20"/>
              </w:rPr>
              <w:t>X.XXX</w:t>
            </w:r>
          </w:p>
        </w:tc>
      </w:tr>
      <w:tr>
        <w:tc>
          <w:tcPr>
            <w:tcW w:type="dxa" w:w="2448"/>
          </w:tcPr>
          <w:p>
            <w:r/>
            <w:r>
              <w:rPr>
                <w:rFonts w:ascii="Times New Roman" w:hAnsi="Times New Roman"/>
                <w:b w:val="0"/>
                <w:sz w:val="20"/>
              </w:rPr>
              <w:t>BiLSTM + Attention</w:t>
            </w:r>
          </w:p>
        </w:tc>
        <w:tc>
          <w:tcPr>
            <w:tcW w:type="dxa" w:w="1368"/>
          </w:tcPr>
          <w:p>
            <w:r/>
            <w:r>
              <w:rPr>
                <w:rFonts w:ascii="Times New Roman" w:hAnsi="Times New Roman"/>
                <w:b w:val="0"/>
                <w:sz w:val="20"/>
              </w:rPr>
              <w:t>X.XXX ± X.XXX</w:t>
            </w:r>
          </w:p>
        </w:tc>
        <w:tc>
          <w:tcPr>
            <w:tcW w:type="dxa" w:w="1368"/>
          </w:tcPr>
          <w:p>
            <w:r/>
            <w:r>
              <w:rPr>
                <w:rFonts w:ascii="Times New Roman" w:hAnsi="Times New Roman"/>
                <w:b w:val="0"/>
                <w:sz w:val="20"/>
              </w:rPr>
              <w:t>X.XXX ± X.XXX</w:t>
            </w:r>
          </w:p>
        </w:tc>
        <w:tc>
          <w:tcPr>
            <w:tcW w:type="dxa" w:w="1152"/>
          </w:tcPr>
          <w:p>
            <w:r/>
            <w:r>
              <w:rPr>
                <w:rFonts w:ascii="Times New Roman" w:hAnsi="Times New Roman"/>
                <w:b w:val="0"/>
                <w:sz w:val="20"/>
              </w:rPr>
              <w:t>X.XXX ± X.XXX</w:t>
            </w:r>
          </w:p>
        </w:tc>
        <w:tc>
          <w:tcPr>
            <w:tcW w:type="dxa" w:w="1008"/>
          </w:tcPr>
          <w:p>
            <w:r/>
            <w:r>
              <w:rPr>
                <w:rFonts w:ascii="Times New Roman" w:hAnsi="Times New Roman"/>
                <w:b w:val="0"/>
                <w:sz w:val="20"/>
              </w:rPr>
              <w:t>X.XXX ± X.XXX</w:t>
            </w:r>
          </w:p>
        </w:tc>
        <w:tc>
          <w:tcPr>
            <w:tcW w:type="dxa" w:w="1152"/>
          </w:tcPr>
          <w:p>
            <w:r/>
            <w:r>
              <w:rPr>
                <w:rFonts w:ascii="Times New Roman" w:hAnsi="Times New Roman"/>
                <w:b w:val="0"/>
                <w:sz w:val="20"/>
              </w:rPr>
              <w:t>X.XXX ± X.XXX</w:t>
            </w:r>
          </w:p>
        </w:tc>
        <w:tc>
          <w:tcPr>
            <w:tcW w:type="dxa" w:w="864"/>
          </w:tcPr>
          <w:p>
            <w:r/>
            <w:r>
              <w:rPr>
                <w:rFonts w:ascii="Times New Roman" w:hAnsi="Times New Roman"/>
                <w:b w:val="0"/>
                <w:sz w:val="20"/>
              </w:rPr>
              <w:t>X.XXX</w:t>
            </w:r>
          </w:p>
        </w:tc>
      </w:tr>
      <w:tr>
        <w:tc>
          <w:tcPr>
            <w:tcW w:type="dxa" w:w="2448"/>
          </w:tcPr>
          <w:p>
            <w:r/>
            <w:r>
              <w:rPr>
                <w:rFonts w:ascii="Times New Roman" w:hAnsi="Times New Roman"/>
                <w:b w:val="0"/>
                <w:sz w:val="20"/>
              </w:rPr>
              <w:t>MentalRoBERTa (fine-tuned)</w:t>
            </w:r>
          </w:p>
        </w:tc>
        <w:tc>
          <w:tcPr>
            <w:tcW w:type="dxa" w:w="1368"/>
          </w:tcPr>
          <w:p>
            <w:r/>
            <w:r>
              <w:rPr>
                <w:rFonts w:ascii="Times New Roman" w:hAnsi="Times New Roman"/>
                <w:b w:val="0"/>
                <w:sz w:val="20"/>
              </w:rPr>
              <w:t>X.XXX ± X.XXX</w:t>
            </w:r>
          </w:p>
        </w:tc>
        <w:tc>
          <w:tcPr>
            <w:tcW w:type="dxa" w:w="1368"/>
          </w:tcPr>
          <w:p>
            <w:r/>
            <w:r>
              <w:rPr>
                <w:rFonts w:ascii="Times New Roman" w:hAnsi="Times New Roman"/>
                <w:b w:val="0"/>
                <w:sz w:val="20"/>
              </w:rPr>
              <w:t>X.XXX ± X.XXX</w:t>
            </w:r>
          </w:p>
        </w:tc>
        <w:tc>
          <w:tcPr>
            <w:tcW w:type="dxa" w:w="1152"/>
          </w:tcPr>
          <w:p>
            <w:r/>
            <w:r>
              <w:rPr>
                <w:rFonts w:ascii="Times New Roman" w:hAnsi="Times New Roman"/>
                <w:b w:val="0"/>
                <w:sz w:val="20"/>
              </w:rPr>
              <w:t>X.XXX ± X.XXX</w:t>
            </w:r>
          </w:p>
        </w:tc>
        <w:tc>
          <w:tcPr>
            <w:tcW w:type="dxa" w:w="1008"/>
          </w:tcPr>
          <w:p>
            <w:r/>
            <w:r>
              <w:rPr>
                <w:rFonts w:ascii="Times New Roman" w:hAnsi="Times New Roman"/>
                <w:b w:val="0"/>
                <w:sz w:val="20"/>
              </w:rPr>
              <w:t>X.XXX ± X.XXX</w:t>
            </w:r>
          </w:p>
        </w:tc>
        <w:tc>
          <w:tcPr>
            <w:tcW w:type="dxa" w:w="1152"/>
          </w:tcPr>
          <w:p>
            <w:r/>
            <w:r>
              <w:rPr>
                <w:rFonts w:ascii="Times New Roman" w:hAnsi="Times New Roman"/>
                <w:b w:val="0"/>
                <w:sz w:val="20"/>
              </w:rPr>
              <w:t>X.XXX ± X.XXX</w:t>
            </w:r>
          </w:p>
        </w:tc>
        <w:tc>
          <w:tcPr>
            <w:tcW w:type="dxa" w:w="864"/>
          </w:tcPr>
          <w:p>
            <w:r/>
            <w:r>
              <w:rPr>
                <w:rFonts w:ascii="Times New Roman" w:hAnsi="Times New Roman"/>
                <w:b w:val="0"/>
                <w:sz w:val="20"/>
              </w:rPr>
              <w:t>X.XXX</w:t>
            </w:r>
          </w:p>
        </w:tc>
      </w:tr>
      <w:tr>
        <w:tc>
          <w:tcPr>
            <w:tcW w:type="dxa" w:w="2448"/>
          </w:tcPr>
          <w:p>
            <w:r/>
            <w:r>
              <w:rPr>
                <w:rFonts w:ascii="Times New Roman" w:hAnsi="Times New Roman"/>
                <w:b w:val="0"/>
                <w:sz w:val="20"/>
              </w:rPr>
              <w:t>Transformer stacking ensemble, after [11]</w:t>
            </w:r>
          </w:p>
        </w:tc>
        <w:tc>
          <w:tcPr>
            <w:tcW w:type="dxa" w:w="1368"/>
          </w:tcPr>
          <w:p>
            <w:r/>
            <w:r>
              <w:rPr>
                <w:rFonts w:ascii="Times New Roman" w:hAnsi="Times New Roman"/>
                <w:b w:val="0"/>
                <w:sz w:val="20"/>
              </w:rPr>
              <w:t>X.XXX ± X.XXX</w:t>
            </w:r>
          </w:p>
        </w:tc>
        <w:tc>
          <w:tcPr>
            <w:tcW w:type="dxa" w:w="1368"/>
          </w:tcPr>
          <w:p>
            <w:r/>
            <w:r>
              <w:rPr>
                <w:rFonts w:ascii="Times New Roman" w:hAnsi="Times New Roman"/>
                <w:b w:val="0"/>
                <w:sz w:val="20"/>
              </w:rPr>
              <w:t>X.XXX ± X.XXX</w:t>
            </w:r>
          </w:p>
        </w:tc>
        <w:tc>
          <w:tcPr>
            <w:tcW w:type="dxa" w:w="1152"/>
          </w:tcPr>
          <w:p>
            <w:r/>
            <w:r>
              <w:rPr>
                <w:rFonts w:ascii="Times New Roman" w:hAnsi="Times New Roman"/>
                <w:b w:val="0"/>
                <w:sz w:val="20"/>
              </w:rPr>
              <w:t>X.XXX ± X.XXX</w:t>
            </w:r>
          </w:p>
        </w:tc>
        <w:tc>
          <w:tcPr>
            <w:tcW w:type="dxa" w:w="1008"/>
          </w:tcPr>
          <w:p>
            <w:r/>
            <w:r>
              <w:rPr>
                <w:rFonts w:ascii="Times New Roman" w:hAnsi="Times New Roman"/>
                <w:b w:val="0"/>
                <w:sz w:val="20"/>
              </w:rPr>
              <w:t>X.XXX ± X.XXX</w:t>
            </w:r>
          </w:p>
        </w:tc>
        <w:tc>
          <w:tcPr>
            <w:tcW w:type="dxa" w:w="1152"/>
          </w:tcPr>
          <w:p>
            <w:r/>
            <w:r>
              <w:rPr>
                <w:rFonts w:ascii="Times New Roman" w:hAnsi="Times New Roman"/>
                <w:b w:val="0"/>
                <w:sz w:val="20"/>
              </w:rPr>
              <w:t>X.XXX ± X.XXX</w:t>
            </w:r>
          </w:p>
        </w:tc>
        <w:tc>
          <w:tcPr>
            <w:tcW w:type="dxa" w:w="864"/>
          </w:tcPr>
          <w:p>
            <w:r/>
            <w:r>
              <w:rPr>
                <w:rFonts w:ascii="Times New Roman" w:hAnsi="Times New Roman"/>
                <w:b w:val="0"/>
                <w:sz w:val="20"/>
              </w:rPr>
              <w:t>X.XXX</w:t>
            </w:r>
          </w:p>
        </w:tc>
      </w:tr>
      <w:tr>
        <w:tc>
          <w:tcPr>
            <w:tcW w:type="dxa" w:w="2448"/>
          </w:tcPr>
          <w:p>
            <w:r/>
            <w:r>
              <w:rPr>
                <w:rFonts w:ascii="Times New Roman" w:hAnsi="Times New Roman"/>
                <w:b w:val="0"/>
                <w:sz w:val="20"/>
              </w:rPr>
              <w:t>Post-graph GNN, after [18]</w:t>
            </w:r>
          </w:p>
        </w:tc>
        <w:tc>
          <w:tcPr>
            <w:tcW w:type="dxa" w:w="1368"/>
          </w:tcPr>
          <w:p>
            <w:r/>
            <w:r>
              <w:rPr>
                <w:rFonts w:ascii="Times New Roman" w:hAnsi="Times New Roman"/>
                <w:b w:val="0"/>
                <w:sz w:val="20"/>
              </w:rPr>
              <w:t>X.XXX ± X.XXX</w:t>
            </w:r>
          </w:p>
        </w:tc>
        <w:tc>
          <w:tcPr>
            <w:tcW w:type="dxa" w:w="1368"/>
          </w:tcPr>
          <w:p>
            <w:r/>
            <w:r>
              <w:rPr>
                <w:rFonts w:ascii="Times New Roman" w:hAnsi="Times New Roman"/>
                <w:b w:val="0"/>
                <w:sz w:val="20"/>
              </w:rPr>
              <w:t>X.XXX ± X.XXX</w:t>
            </w:r>
          </w:p>
        </w:tc>
        <w:tc>
          <w:tcPr>
            <w:tcW w:type="dxa" w:w="1152"/>
          </w:tcPr>
          <w:p>
            <w:r/>
            <w:r>
              <w:rPr>
                <w:rFonts w:ascii="Times New Roman" w:hAnsi="Times New Roman"/>
                <w:b w:val="0"/>
                <w:sz w:val="20"/>
              </w:rPr>
              <w:t>X.XXX ± X.XXX</w:t>
            </w:r>
          </w:p>
        </w:tc>
        <w:tc>
          <w:tcPr>
            <w:tcW w:type="dxa" w:w="1008"/>
          </w:tcPr>
          <w:p>
            <w:r/>
            <w:r>
              <w:rPr>
                <w:rFonts w:ascii="Times New Roman" w:hAnsi="Times New Roman"/>
                <w:b w:val="0"/>
                <w:sz w:val="20"/>
              </w:rPr>
              <w:t>X.XXX ± X.XXX</w:t>
            </w:r>
          </w:p>
        </w:tc>
        <w:tc>
          <w:tcPr>
            <w:tcW w:type="dxa" w:w="1152"/>
          </w:tcPr>
          <w:p>
            <w:r/>
            <w:r>
              <w:rPr>
                <w:rFonts w:ascii="Times New Roman" w:hAnsi="Times New Roman"/>
                <w:b w:val="0"/>
                <w:sz w:val="20"/>
              </w:rPr>
              <w:t>X.XXX ± X.XXX</w:t>
            </w:r>
          </w:p>
        </w:tc>
        <w:tc>
          <w:tcPr>
            <w:tcW w:type="dxa" w:w="864"/>
          </w:tcPr>
          <w:p>
            <w:r/>
            <w:r>
              <w:rPr>
                <w:rFonts w:ascii="Times New Roman" w:hAnsi="Times New Roman"/>
                <w:b w:val="0"/>
                <w:sz w:val="20"/>
              </w:rPr>
              <w:t>X.XXX</w:t>
            </w:r>
          </w:p>
        </w:tc>
      </w:tr>
      <w:tr>
        <w:tc>
          <w:tcPr>
            <w:tcW w:type="dxa" w:w="2448"/>
          </w:tcPr>
          <w:p>
            <w:r/>
            <w:r>
              <w:rPr>
                <w:rFonts w:ascii="Times New Roman" w:hAnsi="Times New Roman"/>
                <w:b w:val="0"/>
                <w:sz w:val="20"/>
              </w:rPr>
              <w:t>Prompt ensemble with self-supervision, after [21]</w:t>
            </w:r>
          </w:p>
        </w:tc>
        <w:tc>
          <w:tcPr>
            <w:tcW w:type="dxa" w:w="1368"/>
          </w:tcPr>
          <w:p>
            <w:r/>
            <w:r>
              <w:rPr>
                <w:rFonts w:ascii="Times New Roman" w:hAnsi="Times New Roman"/>
                <w:b w:val="0"/>
                <w:sz w:val="20"/>
              </w:rPr>
              <w:t>X.XXX ± X.XXX</w:t>
            </w:r>
          </w:p>
        </w:tc>
        <w:tc>
          <w:tcPr>
            <w:tcW w:type="dxa" w:w="1368"/>
          </w:tcPr>
          <w:p>
            <w:r/>
            <w:r>
              <w:rPr>
                <w:rFonts w:ascii="Times New Roman" w:hAnsi="Times New Roman"/>
                <w:b w:val="0"/>
                <w:sz w:val="20"/>
              </w:rPr>
              <w:t>X.XXX ± X.XXX</w:t>
            </w:r>
          </w:p>
        </w:tc>
        <w:tc>
          <w:tcPr>
            <w:tcW w:type="dxa" w:w="1152"/>
          </w:tcPr>
          <w:p>
            <w:r/>
            <w:r>
              <w:rPr>
                <w:rFonts w:ascii="Times New Roman" w:hAnsi="Times New Roman"/>
                <w:b w:val="0"/>
                <w:sz w:val="20"/>
              </w:rPr>
              <w:t>X.XXX ± X.XXX</w:t>
            </w:r>
          </w:p>
        </w:tc>
        <w:tc>
          <w:tcPr>
            <w:tcW w:type="dxa" w:w="1008"/>
          </w:tcPr>
          <w:p>
            <w:r/>
            <w:r>
              <w:rPr>
                <w:rFonts w:ascii="Times New Roman" w:hAnsi="Times New Roman"/>
                <w:b w:val="0"/>
                <w:sz w:val="20"/>
              </w:rPr>
              <w:t>X.XXX ± X.XXX</w:t>
            </w:r>
          </w:p>
        </w:tc>
        <w:tc>
          <w:tcPr>
            <w:tcW w:type="dxa" w:w="1152"/>
          </w:tcPr>
          <w:p>
            <w:r/>
            <w:r>
              <w:rPr>
                <w:rFonts w:ascii="Times New Roman" w:hAnsi="Times New Roman"/>
                <w:b w:val="0"/>
                <w:sz w:val="20"/>
              </w:rPr>
              <w:t>X.XXX ± X.XXX</w:t>
            </w:r>
          </w:p>
        </w:tc>
        <w:tc>
          <w:tcPr>
            <w:tcW w:type="dxa" w:w="864"/>
          </w:tcPr>
          <w:p>
            <w:r/>
            <w:r>
              <w:rPr>
                <w:rFonts w:ascii="Times New Roman" w:hAnsi="Times New Roman"/>
                <w:b w:val="0"/>
                <w:sz w:val="20"/>
              </w:rPr>
              <w:t>X.XXX</w:t>
            </w:r>
          </w:p>
        </w:tc>
      </w:tr>
      <w:tr>
        <w:tc>
          <w:tcPr>
            <w:tcW w:type="dxa" w:w="2448"/>
          </w:tcPr>
          <w:p>
            <w:r/>
            <w:r>
              <w:rPr>
                <w:rFonts w:ascii="Times New Roman" w:hAnsi="Times New Roman"/>
                <w:b/>
                <w:sz w:val="20"/>
              </w:rPr>
              <w:t>Proposed</w:t>
            </w:r>
          </w:p>
        </w:tc>
        <w:tc>
          <w:tcPr>
            <w:tcW w:type="dxa" w:w="1368"/>
          </w:tcPr>
          <w:p>
            <w:r/>
            <w:r>
              <w:rPr>
                <w:rFonts w:ascii="Times New Roman" w:hAnsi="Times New Roman"/>
                <w:b w:val="0"/>
                <w:sz w:val="20"/>
              </w:rPr>
              <w:t>X.XXX ± X.XXX</w:t>
            </w:r>
          </w:p>
        </w:tc>
        <w:tc>
          <w:tcPr>
            <w:tcW w:type="dxa" w:w="1368"/>
          </w:tcPr>
          <w:p>
            <w:r/>
            <w:r>
              <w:rPr>
                <w:rFonts w:ascii="Times New Roman" w:hAnsi="Times New Roman"/>
                <w:b w:val="0"/>
                <w:sz w:val="20"/>
              </w:rPr>
              <w:t>X.XXX ± X.XXX</w:t>
            </w:r>
          </w:p>
        </w:tc>
        <w:tc>
          <w:tcPr>
            <w:tcW w:type="dxa" w:w="1152"/>
          </w:tcPr>
          <w:p>
            <w:r/>
            <w:r>
              <w:rPr>
                <w:rFonts w:ascii="Times New Roman" w:hAnsi="Times New Roman"/>
                <w:b w:val="0"/>
                <w:sz w:val="20"/>
              </w:rPr>
              <w:t>X.XXX ± X.XXX</w:t>
            </w:r>
          </w:p>
        </w:tc>
        <w:tc>
          <w:tcPr>
            <w:tcW w:type="dxa" w:w="1008"/>
          </w:tcPr>
          <w:p>
            <w:r/>
            <w:r>
              <w:rPr>
                <w:rFonts w:ascii="Times New Roman" w:hAnsi="Times New Roman"/>
                <w:b w:val="0"/>
                <w:sz w:val="20"/>
              </w:rPr>
              <w:t>X.XXX ± X.XXX</w:t>
            </w:r>
          </w:p>
        </w:tc>
        <w:tc>
          <w:tcPr>
            <w:tcW w:type="dxa" w:w="1152"/>
          </w:tcPr>
          <w:p>
            <w:r/>
            <w:r>
              <w:rPr>
                <w:rFonts w:ascii="Times New Roman" w:hAnsi="Times New Roman"/>
                <w:b w:val="0"/>
                <w:sz w:val="20"/>
              </w:rPr>
              <w:t>X.XXX ± X.XXX</w:t>
            </w:r>
          </w:p>
        </w:tc>
        <w:tc>
          <w:tcPr>
            <w:tcW w:type="dxa" w:w="864"/>
          </w:tcPr>
          <w:p>
            <w:r/>
            <w:r>
              <w:rPr>
                <w:rFonts w:ascii="Times New Roman" w:hAnsi="Times New Roman"/>
                <w:b w:val="0"/>
                <w:sz w:val="20"/>
              </w:rPr>
              <w:t>X.XXX</w:t>
            </w:r>
          </w:p>
        </w:tc>
      </w:tr>
    </w:tbl>
    <w:p/>
    <w:p>
      <w:pPr>
        <w:jc w:val="center"/>
      </w:pPr>
      <w:r>
        <w:drawing>
          <wp:inline xmlns:a="http://schemas.openxmlformats.org/drawingml/2006/main" xmlns:pic="http://schemas.openxmlformats.org/drawingml/2006/picture">
            <wp:extent cx="5733288" cy="2549418"/>
            <wp:docPr id="2" name="Picture 2"/>
            <wp:cNvGraphicFramePr>
              <a:graphicFrameLocks noChangeAspect="1"/>
            </wp:cNvGraphicFramePr>
            <a:graphic>
              <a:graphicData uri="http://schemas.openxmlformats.org/drawingml/2006/picture">
                <pic:pic>
                  <pic:nvPicPr>
                    <pic:cNvPr id="0" name="figure2_vs_baselines.png"/>
                    <pic:cNvPicPr/>
                  </pic:nvPicPr>
                  <pic:blipFill>
                    <a:blip r:embed="rId10"/>
                    <a:stretch>
                      <a:fillRect/>
                    </a:stretch>
                  </pic:blipFill>
                  <pic:spPr>
                    <a:xfrm>
                      <a:off x="0" y="0"/>
                      <a:ext cx="5733288" cy="2549418"/>
                    </a:xfrm>
                    <a:prstGeom prst="rect"/>
                  </pic:spPr>
                </pic:pic>
              </a:graphicData>
            </a:graphic>
          </wp:inline>
        </w:drawing>
      </w:r>
    </w:p>
    <w:p>
      <w:pPr>
        <w:jc w:val="center"/>
      </w:pPr>
      <w:r>
        <w:rPr>
          <w:rFonts w:ascii="Times New Roman" w:hAnsi="Times New Roman"/>
          <w:sz w:val="24"/>
        </w:rPr>
        <w:t>Figure 2. Placeholder. Performance of the proposed framework against the baselines and the re-implemented comparison models across the symptom and stress tasks.</w:t>
      </w:r>
    </w:p>
    <w:p>
      <w:pPr>
        <w:jc w:val="both"/>
      </w:pPr>
      <w:r>
        <w:rPr>
          <w:rFonts w:ascii="Times New Roman" w:hAnsi="Times New Roman"/>
          <w:b/>
          <w:sz w:val="24"/>
        </w:rPr>
        <w:t>4.2 Component-Wise Ablation Study</w:t>
      </w:r>
    </w:p>
    <w:p>
      <w:pPr>
        <w:jc w:val="both"/>
      </w:pPr>
      <w:r>
        <w:rPr>
          <w:rFonts w:ascii="Times New Roman" w:hAnsi="Times New Roman"/>
          <w:b w:val="0"/>
          <w:sz w:val="24"/>
        </w:rPr>
        <w:t>The contribution of each component is isolated by a ladder in which exactly one element is added at each step, beginning from a flat encoder with unconstrained heads and ending with the complete framework. Every rung shares the configuration of Table 4 without exception, so no rung benefits from a learning rate, schedule, epoch budget or selection rule that another did not receive. Three further conditions isolate individual claims: a graph condition establishing whether the comorbidity graph outperforms its absence, an unconstrained-trait condition separating the contribution of the monotone structure from the mere reduction in free parameters, and a down-weighted weak-supervision condition establishing whether the noise channel outperforms a uniform reduction of the weak-label weight. The results are reported in Table 6 and Figure 3. The step contributing the largest measured change is X.XXX, and the step contributing the smallest is X.XXX.</w:t>
      </w:r>
    </w:p>
    <w:p>
      <w:pPr>
        <w:jc w:val="both"/>
      </w:pPr>
      <w:r>
        <w:rPr>
          <w:rFonts w:ascii="Times New Roman" w:hAnsi="Times New Roman"/>
          <w:b/>
          <w:sz w:val="24"/>
        </w:rPr>
        <w:t>Table 6. Component-wise ablation ladder and isolating controls, reported as mean ± standard deviation over three seeds.</w:t>
      </w:r>
    </w:p>
    <w:tbl>
      <w:tblPr>
        <w:tblStyle w:val="TableGrid"/>
        <w:tblW w:type="auto" w:w="0"/>
        <w:tblLook w:firstColumn="1" w:firstRow="1" w:lastColumn="0" w:lastRow="0" w:noHBand="0" w:noVBand="1" w:val="04A0"/>
      </w:tblPr>
      <w:tblGrid>
        <w:gridCol w:w="1505"/>
        <w:gridCol w:w="1505"/>
        <w:gridCol w:w="1505"/>
        <w:gridCol w:w="1505"/>
        <w:gridCol w:w="1505"/>
        <w:gridCol w:w="1505"/>
      </w:tblGrid>
      <w:tr>
        <w:tc>
          <w:tcPr>
            <w:tcW w:type="dxa" w:w="2160"/>
          </w:tcPr>
          <w:p>
            <w:r/>
            <w:r>
              <w:rPr>
                <w:rFonts w:ascii="Times New Roman" w:hAnsi="Times New Roman"/>
                <w:b/>
                <w:sz w:val="20"/>
              </w:rPr>
              <w:t>Configuration</w:t>
            </w:r>
          </w:p>
        </w:tc>
        <w:tc>
          <w:tcPr>
            <w:tcW w:type="dxa" w:w="2304"/>
          </w:tcPr>
          <w:p>
            <w:r/>
            <w:r>
              <w:rPr>
                <w:rFonts w:ascii="Times New Roman" w:hAnsi="Times New Roman"/>
                <w:b/>
                <w:sz w:val="20"/>
              </w:rPr>
              <w:t>Components enabled</w:t>
            </w:r>
          </w:p>
        </w:tc>
        <w:tc>
          <w:tcPr>
            <w:tcW w:type="dxa" w:w="1584"/>
          </w:tcPr>
          <w:p>
            <w:r/>
            <w:r>
              <w:rPr>
                <w:rFonts w:ascii="Times New Roman" w:hAnsi="Times New Roman"/>
                <w:b/>
                <w:sz w:val="20"/>
              </w:rPr>
              <w:t>Symptom macro-AUROC</w:t>
            </w:r>
          </w:p>
        </w:tc>
        <w:tc>
          <w:tcPr>
            <w:tcW w:type="dxa" w:w="1224"/>
          </w:tcPr>
          <w:p>
            <w:r/>
            <w:r>
              <w:rPr>
                <w:rFonts w:ascii="Times New Roman" w:hAnsi="Times New Roman"/>
                <w:b/>
                <w:sz w:val="20"/>
              </w:rPr>
              <w:t>Severity QWK</w:t>
            </w:r>
          </w:p>
        </w:tc>
        <w:tc>
          <w:tcPr>
            <w:tcW w:type="dxa" w:w="1080"/>
          </w:tcPr>
          <w:p>
            <w:r/>
            <w:r>
              <w:rPr>
                <w:rFonts w:ascii="Times New Roman" w:hAnsi="Times New Roman"/>
                <w:b/>
                <w:sz w:val="20"/>
              </w:rPr>
              <w:t>Risk QWK</w:t>
            </w:r>
          </w:p>
        </w:tc>
        <w:tc>
          <w:tcPr>
            <w:tcW w:type="dxa" w:w="1224"/>
          </w:tcPr>
          <w:p>
            <w:r/>
            <w:r>
              <w:rPr>
                <w:rFonts w:ascii="Times New Roman" w:hAnsi="Times New Roman"/>
                <w:b/>
                <w:sz w:val="20"/>
              </w:rPr>
              <w:t>Composite</w:t>
            </w:r>
          </w:p>
        </w:tc>
      </w:tr>
      <w:tr>
        <w:tc>
          <w:tcPr>
            <w:tcW w:type="dxa" w:w="2160"/>
          </w:tcPr>
          <w:p>
            <w:r/>
            <w:r>
              <w:rPr>
                <w:rFonts w:ascii="Times New Roman" w:hAnsi="Times New Roman"/>
                <w:b w:val="0"/>
                <w:sz w:val="20"/>
              </w:rPr>
              <w:t>M0 flat</w:t>
            </w:r>
          </w:p>
        </w:tc>
        <w:tc>
          <w:tcPr>
            <w:tcW w:type="dxa" w:w="2304"/>
          </w:tcPr>
          <w:p>
            <w:r/>
            <w:r>
              <w:rPr>
                <w:rFonts w:ascii="Times New Roman" w:hAnsi="Times New Roman"/>
                <w:b w:val="0"/>
                <w:sz w:val="20"/>
              </w:rPr>
              <w:t>none</w:t>
            </w:r>
          </w:p>
        </w:tc>
        <w:tc>
          <w:tcPr>
            <w:tcW w:type="dxa" w:w="1584"/>
          </w:tcPr>
          <w:p>
            <w:r/>
            <w:r>
              <w:rPr>
                <w:rFonts w:ascii="Times New Roman" w:hAnsi="Times New Roman"/>
                <w:b w:val="0"/>
                <w:sz w:val="20"/>
              </w:rPr>
              <w:t>X.XXX ± X.XXX</w:t>
            </w:r>
          </w:p>
        </w:tc>
        <w:tc>
          <w:tcPr>
            <w:tcW w:type="dxa" w:w="1224"/>
          </w:tcPr>
          <w:p>
            <w:r/>
            <w:r>
              <w:rPr>
                <w:rFonts w:ascii="Times New Roman" w:hAnsi="Times New Roman"/>
                <w:b w:val="0"/>
                <w:sz w:val="20"/>
              </w:rPr>
              <w:t>X.XXX ± X.XXX</w:t>
            </w:r>
          </w:p>
        </w:tc>
        <w:tc>
          <w:tcPr>
            <w:tcW w:type="dxa" w:w="1080"/>
          </w:tcPr>
          <w:p>
            <w:r/>
            <w:r>
              <w:rPr>
                <w:rFonts w:ascii="Times New Roman" w:hAnsi="Times New Roman"/>
                <w:b w:val="0"/>
                <w:sz w:val="20"/>
              </w:rPr>
              <w:t>X.XXX ± X.XXX</w:t>
            </w:r>
          </w:p>
        </w:tc>
        <w:tc>
          <w:tcPr>
            <w:tcW w:type="dxa" w:w="1224"/>
          </w:tcPr>
          <w:p>
            <w:r/>
            <w:r>
              <w:rPr>
                <w:rFonts w:ascii="Times New Roman" w:hAnsi="Times New Roman"/>
                <w:b w:val="0"/>
                <w:sz w:val="20"/>
              </w:rPr>
              <w:t>X.XXX ± X.XXX</w:t>
            </w:r>
          </w:p>
        </w:tc>
      </w:tr>
      <w:tr>
        <w:tc>
          <w:tcPr>
            <w:tcW w:type="dxa" w:w="2160"/>
          </w:tcPr>
          <w:p>
            <w:r/>
            <w:r>
              <w:rPr>
                <w:rFonts w:ascii="Times New Roman" w:hAnsi="Times New Roman"/>
                <w:b w:val="0"/>
                <w:sz w:val="20"/>
              </w:rPr>
              <w:t>M1 bottleneck</w:t>
            </w:r>
          </w:p>
        </w:tc>
        <w:tc>
          <w:tcPr>
            <w:tcW w:type="dxa" w:w="2304"/>
          </w:tcPr>
          <w:p>
            <w:r/>
            <w:r>
              <w:rPr>
                <w:rFonts w:ascii="Times New Roman" w:hAnsi="Times New Roman"/>
                <w:b w:val="0"/>
                <w:sz w:val="20"/>
              </w:rPr>
              <w:t>concept bottleneck</w:t>
            </w:r>
          </w:p>
        </w:tc>
        <w:tc>
          <w:tcPr>
            <w:tcW w:type="dxa" w:w="1584"/>
          </w:tcPr>
          <w:p>
            <w:r/>
            <w:r>
              <w:rPr>
                <w:rFonts w:ascii="Times New Roman" w:hAnsi="Times New Roman"/>
                <w:b w:val="0"/>
                <w:sz w:val="20"/>
              </w:rPr>
              <w:t>X.XXX ± X.XXX</w:t>
            </w:r>
          </w:p>
        </w:tc>
        <w:tc>
          <w:tcPr>
            <w:tcW w:type="dxa" w:w="1224"/>
          </w:tcPr>
          <w:p>
            <w:r/>
            <w:r>
              <w:rPr>
                <w:rFonts w:ascii="Times New Roman" w:hAnsi="Times New Roman"/>
                <w:b w:val="0"/>
                <w:sz w:val="20"/>
              </w:rPr>
              <w:t>X.XXX ± X.XXX</w:t>
            </w:r>
          </w:p>
        </w:tc>
        <w:tc>
          <w:tcPr>
            <w:tcW w:type="dxa" w:w="1080"/>
          </w:tcPr>
          <w:p>
            <w:r/>
            <w:r>
              <w:rPr>
                <w:rFonts w:ascii="Times New Roman" w:hAnsi="Times New Roman"/>
                <w:b w:val="0"/>
                <w:sz w:val="20"/>
              </w:rPr>
              <w:t>X.XXX ± X.XXX</w:t>
            </w:r>
          </w:p>
        </w:tc>
        <w:tc>
          <w:tcPr>
            <w:tcW w:type="dxa" w:w="1224"/>
          </w:tcPr>
          <w:p>
            <w:r/>
            <w:r>
              <w:rPr>
                <w:rFonts w:ascii="Times New Roman" w:hAnsi="Times New Roman"/>
                <w:b w:val="0"/>
                <w:sz w:val="20"/>
              </w:rPr>
              <w:t>X.XXX ± X.XXX</w:t>
            </w:r>
          </w:p>
        </w:tc>
      </w:tr>
      <w:tr>
        <w:tc>
          <w:tcPr>
            <w:tcW w:type="dxa" w:w="2160"/>
          </w:tcPr>
          <w:p>
            <w:r/>
            <w:r>
              <w:rPr>
                <w:rFonts w:ascii="Times New Roman" w:hAnsi="Times New Roman"/>
                <w:b w:val="0"/>
                <w:sz w:val="20"/>
              </w:rPr>
              <w:t>M2 monotone</w:t>
            </w:r>
          </w:p>
        </w:tc>
        <w:tc>
          <w:tcPr>
            <w:tcW w:type="dxa" w:w="2304"/>
          </w:tcPr>
          <w:p>
            <w:r/>
            <w:r>
              <w:rPr>
                <w:rFonts w:ascii="Times New Roman" w:hAnsi="Times New Roman"/>
                <w:b w:val="0"/>
                <w:sz w:val="20"/>
              </w:rPr>
              <w:t>+ monotone ordinal head</w:t>
            </w:r>
          </w:p>
        </w:tc>
        <w:tc>
          <w:tcPr>
            <w:tcW w:type="dxa" w:w="1584"/>
          </w:tcPr>
          <w:p>
            <w:r/>
            <w:r>
              <w:rPr>
                <w:rFonts w:ascii="Times New Roman" w:hAnsi="Times New Roman"/>
                <w:b w:val="0"/>
                <w:sz w:val="20"/>
              </w:rPr>
              <w:t>X.XXX ± X.XXX</w:t>
            </w:r>
          </w:p>
        </w:tc>
        <w:tc>
          <w:tcPr>
            <w:tcW w:type="dxa" w:w="1224"/>
          </w:tcPr>
          <w:p>
            <w:r/>
            <w:r>
              <w:rPr>
                <w:rFonts w:ascii="Times New Roman" w:hAnsi="Times New Roman"/>
                <w:b w:val="0"/>
                <w:sz w:val="20"/>
              </w:rPr>
              <w:t>X.XXX ± X.XXX</w:t>
            </w:r>
          </w:p>
        </w:tc>
        <w:tc>
          <w:tcPr>
            <w:tcW w:type="dxa" w:w="1080"/>
          </w:tcPr>
          <w:p>
            <w:r/>
            <w:r>
              <w:rPr>
                <w:rFonts w:ascii="Times New Roman" w:hAnsi="Times New Roman"/>
                <w:b w:val="0"/>
                <w:sz w:val="20"/>
              </w:rPr>
              <w:t>X.XXX ± X.XXX</w:t>
            </w:r>
          </w:p>
        </w:tc>
        <w:tc>
          <w:tcPr>
            <w:tcW w:type="dxa" w:w="1224"/>
          </w:tcPr>
          <w:p>
            <w:r/>
            <w:r>
              <w:rPr>
                <w:rFonts w:ascii="Times New Roman" w:hAnsi="Times New Roman"/>
                <w:b w:val="0"/>
                <w:sz w:val="20"/>
              </w:rPr>
              <w:t>X.XXX ± X.XXX</w:t>
            </w:r>
          </w:p>
        </w:tc>
      </w:tr>
      <w:tr>
        <w:tc>
          <w:tcPr>
            <w:tcW w:type="dxa" w:w="2160"/>
          </w:tcPr>
          <w:p>
            <w:r/>
            <w:r>
              <w:rPr>
                <w:rFonts w:ascii="Times New Roman" w:hAnsi="Times New Roman"/>
                <w:b w:val="0"/>
                <w:sz w:val="20"/>
              </w:rPr>
              <w:t>M3 weak</w:t>
            </w:r>
          </w:p>
        </w:tc>
        <w:tc>
          <w:tcPr>
            <w:tcW w:type="dxa" w:w="2304"/>
          </w:tcPr>
          <w:p>
            <w:r/>
            <w:r>
              <w:rPr>
                <w:rFonts w:ascii="Times New Roman" w:hAnsi="Times New Roman"/>
                <w:b w:val="0"/>
                <w:sz w:val="20"/>
              </w:rPr>
              <w:t>+ weak supervision stream</w:t>
            </w:r>
          </w:p>
        </w:tc>
        <w:tc>
          <w:tcPr>
            <w:tcW w:type="dxa" w:w="1584"/>
          </w:tcPr>
          <w:p>
            <w:r/>
            <w:r>
              <w:rPr>
                <w:rFonts w:ascii="Times New Roman" w:hAnsi="Times New Roman"/>
                <w:b w:val="0"/>
                <w:sz w:val="20"/>
              </w:rPr>
              <w:t>X.XXX ± X.XXX</w:t>
            </w:r>
          </w:p>
        </w:tc>
        <w:tc>
          <w:tcPr>
            <w:tcW w:type="dxa" w:w="1224"/>
          </w:tcPr>
          <w:p>
            <w:r/>
            <w:r>
              <w:rPr>
                <w:rFonts w:ascii="Times New Roman" w:hAnsi="Times New Roman"/>
                <w:b w:val="0"/>
                <w:sz w:val="20"/>
              </w:rPr>
              <w:t>X.XXX ± X.XXX</w:t>
            </w:r>
          </w:p>
        </w:tc>
        <w:tc>
          <w:tcPr>
            <w:tcW w:type="dxa" w:w="1080"/>
          </w:tcPr>
          <w:p>
            <w:r/>
            <w:r>
              <w:rPr>
                <w:rFonts w:ascii="Times New Roman" w:hAnsi="Times New Roman"/>
                <w:b w:val="0"/>
                <w:sz w:val="20"/>
              </w:rPr>
              <w:t>X.XXX ± X.XXX</w:t>
            </w:r>
          </w:p>
        </w:tc>
        <w:tc>
          <w:tcPr>
            <w:tcW w:type="dxa" w:w="1224"/>
          </w:tcPr>
          <w:p>
            <w:r/>
            <w:r>
              <w:rPr>
                <w:rFonts w:ascii="Times New Roman" w:hAnsi="Times New Roman"/>
                <w:b w:val="0"/>
                <w:sz w:val="20"/>
              </w:rPr>
              <w:t>X.XXX ± X.XXX</w:t>
            </w:r>
          </w:p>
        </w:tc>
      </w:tr>
      <w:tr>
        <w:tc>
          <w:tcPr>
            <w:tcW w:type="dxa" w:w="2160"/>
          </w:tcPr>
          <w:p>
            <w:r/>
            <w:r>
              <w:rPr>
                <w:rFonts w:ascii="Times New Roman" w:hAnsi="Times New Roman"/>
                <w:b/>
                <w:sz w:val="20"/>
              </w:rPr>
              <w:t>Proposed</w:t>
            </w:r>
          </w:p>
        </w:tc>
        <w:tc>
          <w:tcPr>
            <w:tcW w:type="dxa" w:w="2304"/>
          </w:tcPr>
          <w:p>
            <w:r/>
            <w:r>
              <w:rPr>
                <w:rFonts w:ascii="Times New Roman" w:hAnsi="Times New Roman"/>
                <w:b w:val="0"/>
                <w:sz w:val="20"/>
              </w:rPr>
              <w:t>+ per-symptom noise channel</w:t>
            </w:r>
          </w:p>
        </w:tc>
        <w:tc>
          <w:tcPr>
            <w:tcW w:type="dxa" w:w="1584"/>
          </w:tcPr>
          <w:p>
            <w:r/>
            <w:r>
              <w:rPr>
                <w:rFonts w:ascii="Times New Roman" w:hAnsi="Times New Roman"/>
                <w:b w:val="0"/>
                <w:sz w:val="20"/>
              </w:rPr>
              <w:t>X.XXX ± X.XXX</w:t>
            </w:r>
          </w:p>
        </w:tc>
        <w:tc>
          <w:tcPr>
            <w:tcW w:type="dxa" w:w="1224"/>
          </w:tcPr>
          <w:p>
            <w:r/>
            <w:r>
              <w:rPr>
                <w:rFonts w:ascii="Times New Roman" w:hAnsi="Times New Roman"/>
                <w:b w:val="0"/>
                <w:sz w:val="20"/>
              </w:rPr>
              <w:t>X.XXX ± X.XXX</w:t>
            </w:r>
          </w:p>
        </w:tc>
        <w:tc>
          <w:tcPr>
            <w:tcW w:type="dxa" w:w="1080"/>
          </w:tcPr>
          <w:p>
            <w:r/>
            <w:r>
              <w:rPr>
                <w:rFonts w:ascii="Times New Roman" w:hAnsi="Times New Roman"/>
                <w:b w:val="0"/>
                <w:sz w:val="20"/>
              </w:rPr>
              <w:t>X.XXX ± X.XXX</w:t>
            </w:r>
          </w:p>
        </w:tc>
        <w:tc>
          <w:tcPr>
            <w:tcW w:type="dxa" w:w="1224"/>
          </w:tcPr>
          <w:p>
            <w:r/>
            <w:r>
              <w:rPr>
                <w:rFonts w:ascii="Times New Roman" w:hAnsi="Times New Roman"/>
                <w:b w:val="0"/>
                <w:sz w:val="20"/>
              </w:rPr>
              <w:t>X.XXX ± X.XXX</w:t>
            </w:r>
          </w:p>
        </w:tc>
      </w:tr>
      <w:tr>
        <w:tc>
          <w:tcPr>
            <w:tcW w:type="dxa" w:w="2160"/>
          </w:tcPr>
          <w:p>
            <w:r/>
            <w:r>
              <w:rPr>
                <w:rFonts w:ascii="Times New Roman" w:hAnsi="Times New Roman"/>
                <w:b w:val="0"/>
                <w:sz w:val="20"/>
              </w:rPr>
              <w:t>C1 graph control</w:t>
            </w:r>
          </w:p>
        </w:tc>
        <w:tc>
          <w:tcPr>
            <w:tcW w:type="dxa" w:w="2304"/>
          </w:tcPr>
          <w:p>
            <w:r/>
            <w:r>
              <w:rPr>
                <w:rFonts w:ascii="Times New Roman" w:hAnsi="Times New Roman"/>
                <w:b w:val="0"/>
                <w:sz w:val="20"/>
              </w:rPr>
              <w:t>+ comorbidity graph</w:t>
            </w:r>
          </w:p>
        </w:tc>
        <w:tc>
          <w:tcPr>
            <w:tcW w:type="dxa" w:w="1584"/>
          </w:tcPr>
          <w:p>
            <w:r/>
            <w:r>
              <w:rPr>
                <w:rFonts w:ascii="Times New Roman" w:hAnsi="Times New Roman"/>
                <w:b w:val="0"/>
                <w:sz w:val="20"/>
              </w:rPr>
              <w:t>X.XXX ± X.XXX</w:t>
            </w:r>
          </w:p>
        </w:tc>
        <w:tc>
          <w:tcPr>
            <w:tcW w:type="dxa" w:w="1224"/>
          </w:tcPr>
          <w:p>
            <w:r/>
            <w:r>
              <w:rPr>
                <w:rFonts w:ascii="Times New Roman" w:hAnsi="Times New Roman"/>
                <w:b w:val="0"/>
                <w:sz w:val="20"/>
              </w:rPr>
              <w:t>X.XXX ± X.XXX</w:t>
            </w:r>
          </w:p>
        </w:tc>
        <w:tc>
          <w:tcPr>
            <w:tcW w:type="dxa" w:w="1080"/>
          </w:tcPr>
          <w:p>
            <w:r/>
            <w:r>
              <w:rPr>
                <w:rFonts w:ascii="Times New Roman" w:hAnsi="Times New Roman"/>
                <w:b w:val="0"/>
                <w:sz w:val="20"/>
              </w:rPr>
              <w:t>X.XXX ± X.XXX</w:t>
            </w:r>
          </w:p>
        </w:tc>
        <w:tc>
          <w:tcPr>
            <w:tcW w:type="dxa" w:w="1224"/>
          </w:tcPr>
          <w:p>
            <w:r/>
            <w:r>
              <w:rPr>
                <w:rFonts w:ascii="Times New Roman" w:hAnsi="Times New Roman"/>
                <w:b w:val="0"/>
                <w:sz w:val="20"/>
              </w:rPr>
              <w:t>X.XXX ± X.XXX</w:t>
            </w:r>
          </w:p>
        </w:tc>
      </w:tr>
      <w:tr>
        <w:tc>
          <w:tcPr>
            <w:tcW w:type="dxa" w:w="2160"/>
          </w:tcPr>
          <w:p>
            <w:r/>
            <w:r>
              <w:rPr>
                <w:rFonts w:ascii="Times New Roman" w:hAnsi="Times New Roman"/>
                <w:b w:val="0"/>
                <w:sz w:val="20"/>
              </w:rPr>
              <w:t>C2 unconstrained trait</w:t>
            </w:r>
          </w:p>
        </w:tc>
        <w:tc>
          <w:tcPr>
            <w:tcW w:type="dxa" w:w="2304"/>
          </w:tcPr>
          <w:p>
            <w:r/>
            <w:r>
              <w:rPr>
                <w:rFonts w:ascii="Times New Roman" w:hAnsi="Times New Roman"/>
                <w:b w:val="0"/>
                <w:sz w:val="20"/>
              </w:rPr>
              <w:t>monotonicity removed</w:t>
            </w:r>
          </w:p>
        </w:tc>
        <w:tc>
          <w:tcPr>
            <w:tcW w:type="dxa" w:w="1584"/>
          </w:tcPr>
          <w:p>
            <w:r/>
            <w:r>
              <w:rPr>
                <w:rFonts w:ascii="Times New Roman" w:hAnsi="Times New Roman"/>
                <w:b w:val="0"/>
                <w:sz w:val="20"/>
              </w:rPr>
              <w:t>X.XXX ± X.XXX</w:t>
            </w:r>
          </w:p>
        </w:tc>
        <w:tc>
          <w:tcPr>
            <w:tcW w:type="dxa" w:w="1224"/>
          </w:tcPr>
          <w:p>
            <w:r/>
            <w:r>
              <w:rPr>
                <w:rFonts w:ascii="Times New Roman" w:hAnsi="Times New Roman"/>
                <w:b w:val="0"/>
                <w:sz w:val="20"/>
              </w:rPr>
              <w:t>X.XXX ± X.XXX</w:t>
            </w:r>
          </w:p>
        </w:tc>
        <w:tc>
          <w:tcPr>
            <w:tcW w:type="dxa" w:w="1080"/>
          </w:tcPr>
          <w:p>
            <w:r/>
            <w:r>
              <w:rPr>
                <w:rFonts w:ascii="Times New Roman" w:hAnsi="Times New Roman"/>
                <w:b w:val="0"/>
                <w:sz w:val="20"/>
              </w:rPr>
              <w:t>X.XXX ± X.XXX</w:t>
            </w:r>
          </w:p>
        </w:tc>
        <w:tc>
          <w:tcPr>
            <w:tcW w:type="dxa" w:w="1224"/>
          </w:tcPr>
          <w:p>
            <w:r/>
            <w:r>
              <w:rPr>
                <w:rFonts w:ascii="Times New Roman" w:hAnsi="Times New Roman"/>
                <w:b w:val="0"/>
                <w:sz w:val="20"/>
              </w:rPr>
              <w:t>X.XXX ± X.XXX</w:t>
            </w:r>
          </w:p>
        </w:tc>
      </w:tr>
      <w:tr>
        <w:tc>
          <w:tcPr>
            <w:tcW w:type="dxa" w:w="2160"/>
          </w:tcPr>
          <w:p>
            <w:r/>
            <w:r>
              <w:rPr>
                <w:rFonts w:ascii="Times New Roman" w:hAnsi="Times New Roman"/>
                <w:b w:val="0"/>
                <w:sz w:val="20"/>
              </w:rPr>
              <w:t>C3 weak down-weighted</w:t>
            </w:r>
          </w:p>
        </w:tc>
        <w:tc>
          <w:tcPr>
            <w:tcW w:type="dxa" w:w="2304"/>
          </w:tcPr>
          <w:p>
            <w:r/>
            <w:r>
              <w:rPr>
                <w:rFonts w:ascii="Times New Roman" w:hAnsi="Times New Roman"/>
                <w:b w:val="0"/>
                <w:sz w:val="20"/>
              </w:rPr>
              <w:t>channel replaced by uniform weight</w:t>
            </w:r>
          </w:p>
        </w:tc>
        <w:tc>
          <w:tcPr>
            <w:tcW w:type="dxa" w:w="1584"/>
          </w:tcPr>
          <w:p>
            <w:r/>
            <w:r>
              <w:rPr>
                <w:rFonts w:ascii="Times New Roman" w:hAnsi="Times New Roman"/>
                <w:b w:val="0"/>
                <w:sz w:val="20"/>
              </w:rPr>
              <w:t>X.XXX ± X.XXX</w:t>
            </w:r>
          </w:p>
        </w:tc>
        <w:tc>
          <w:tcPr>
            <w:tcW w:type="dxa" w:w="1224"/>
          </w:tcPr>
          <w:p>
            <w:r/>
            <w:r>
              <w:rPr>
                <w:rFonts w:ascii="Times New Roman" w:hAnsi="Times New Roman"/>
                <w:b w:val="0"/>
                <w:sz w:val="20"/>
              </w:rPr>
              <w:t>X.XXX ± X.XXX</w:t>
            </w:r>
          </w:p>
        </w:tc>
        <w:tc>
          <w:tcPr>
            <w:tcW w:type="dxa" w:w="1080"/>
          </w:tcPr>
          <w:p>
            <w:r/>
            <w:r>
              <w:rPr>
                <w:rFonts w:ascii="Times New Roman" w:hAnsi="Times New Roman"/>
                <w:b w:val="0"/>
                <w:sz w:val="20"/>
              </w:rPr>
              <w:t>X.XXX ± X.XXX</w:t>
            </w:r>
          </w:p>
        </w:tc>
        <w:tc>
          <w:tcPr>
            <w:tcW w:type="dxa" w:w="1224"/>
          </w:tcPr>
          <w:p>
            <w:r/>
            <w:r>
              <w:rPr>
                <w:rFonts w:ascii="Times New Roman" w:hAnsi="Times New Roman"/>
                <w:b w:val="0"/>
                <w:sz w:val="20"/>
              </w:rPr>
              <w:t>X.XXX ± X.XXX</w:t>
            </w:r>
          </w:p>
        </w:tc>
      </w:tr>
    </w:tbl>
    <w:p/>
    <w:p>
      <w:pPr>
        <w:jc w:val="center"/>
      </w:pPr>
      <w:r>
        <w:drawing>
          <wp:inline xmlns:a="http://schemas.openxmlformats.org/drawingml/2006/main" xmlns:pic="http://schemas.openxmlformats.org/drawingml/2006/picture">
            <wp:extent cx="5733288" cy="2180587"/>
            <wp:docPr id="3" name="Picture 3"/>
            <wp:cNvGraphicFramePr>
              <a:graphicFrameLocks noChangeAspect="1"/>
            </wp:cNvGraphicFramePr>
            <a:graphic>
              <a:graphicData uri="http://schemas.openxmlformats.org/drawingml/2006/picture">
                <pic:pic>
                  <pic:nvPicPr>
                    <pic:cNvPr id="0" name="figure3_ablation.png"/>
                    <pic:cNvPicPr/>
                  </pic:nvPicPr>
                  <pic:blipFill>
                    <a:blip r:embed="rId11"/>
                    <a:stretch>
                      <a:fillRect/>
                    </a:stretch>
                  </pic:blipFill>
                  <pic:spPr>
                    <a:xfrm>
                      <a:off x="0" y="0"/>
                      <a:ext cx="5733288" cy="2180587"/>
                    </a:xfrm>
                    <a:prstGeom prst="rect"/>
                  </pic:spPr>
                </pic:pic>
              </a:graphicData>
            </a:graphic>
          </wp:inline>
        </w:drawing>
      </w:r>
    </w:p>
    <w:p>
      <w:pPr>
        <w:jc w:val="center"/>
      </w:pPr>
      <w:r>
        <w:rPr>
          <w:rFonts w:ascii="Times New Roman" w:hAnsi="Times New Roman"/>
          <w:sz w:val="24"/>
        </w:rPr>
        <w:t>Figure 3. Placeholder. Component-wise ablation ladder for the symptom and suicide-risk tasks, showing mean and standard deviation over three seeds.</w:t>
      </w:r>
    </w:p>
    <w:p>
      <w:pPr>
        <w:jc w:val="both"/>
      </w:pPr>
      <w:r>
        <w:rPr>
          <w:rFonts w:ascii="Times New Roman" w:hAnsi="Times New Roman"/>
          <w:b/>
          <w:sz w:val="24"/>
        </w:rPr>
        <w:t>4.3 Statistical Significance and Measurement Limits</w:t>
      </w:r>
    </w:p>
    <w:p>
      <w:pPr>
        <w:jc w:val="both"/>
      </w:pPr>
      <w:r>
        <w:rPr>
          <w:rFonts w:ascii="Times New Roman" w:hAnsi="Times New Roman"/>
          <w:b w:val="0"/>
          <w:sz w:val="24"/>
        </w:rPr>
        <w:t>Because the evaluation partitions differ in size by more than an order of magnitude between tasks, every reported difference is accompanied by a paired bootstrap test and every metric by a bootstrap confidence interval over resampled test examples. The paired procedure applies the same resampled indices to both models under comparison, so that the test observes differences in prediction rather than differences in which examples were drawn, and a difference is reported as established only if it attains significance on every seed and preserves its sign across all three. The multiple-comparison burden is stated explicitly: with five metrics across the conditions evaluated, approximately one false positive is expected at the conventional threshold, so a single significant result is reported as consistent with chance rather than as evidence. The outcomes are reported in Tables 7 and 8. Of the comparisons performed, X.XXX attain significance with a consistent sign. The suicide-risk task warrants particular caution: its test partition comprises 74 instances across five ordinal levels, and the resulting ninety-five per cent confidence interval for quadratic weighted kappa has a measured width of X.XXX, which exceeds any architectural difference observed in this study. Differences on that task are therefore not interpretable as architectural effects, and this is a property of the available annotation rather than a deficiency of any model evaluated.</w:t>
      </w:r>
    </w:p>
    <w:p>
      <w:pPr>
        <w:jc w:val="both"/>
      </w:pPr>
      <w:r>
        <w:rPr>
          <w:rFonts w:ascii="Times New Roman" w:hAnsi="Times New Roman"/>
          <w:b/>
          <w:sz w:val="24"/>
        </w:rPr>
        <w:t>Table 7. Per-task bootstrap confidence intervals over resampled test examples, with the seed standard deviation reported separately.</w:t>
      </w:r>
    </w:p>
    <w:tbl>
      <w:tblPr>
        <w:tblStyle w:val="TableGrid"/>
        <w:tblW w:type="auto" w:w="0"/>
        <w:tblLook w:firstColumn="1" w:firstRow="1" w:lastColumn="0" w:lastRow="0" w:noHBand="0" w:noVBand="1" w:val="04A0"/>
      </w:tblPr>
      <w:tblGrid>
        <w:gridCol w:w="1290"/>
        <w:gridCol w:w="1290"/>
        <w:gridCol w:w="1290"/>
        <w:gridCol w:w="1290"/>
        <w:gridCol w:w="1290"/>
        <w:gridCol w:w="1290"/>
        <w:gridCol w:w="1290"/>
      </w:tblGrid>
      <w:tr>
        <w:tc>
          <w:tcPr>
            <w:tcW w:type="dxa" w:w="2160"/>
          </w:tcPr>
          <w:p>
            <w:r/>
            <w:r>
              <w:rPr>
                <w:rFonts w:ascii="Times New Roman" w:hAnsi="Times New Roman"/>
                <w:b/>
                <w:sz w:val="20"/>
              </w:rPr>
              <w:t>Task</w:t>
            </w:r>
          </w:p>
        </w:tc>
        <w:tc>
          <w:tcPr>
            <w:tcW w:type="dxa" w:w="1368"/>
          </w:tcPr>
          <w:p>
            <w:r/>
            <w:r>
              <w:rPr>
                <w:rFonts w:ascii="Times New Roman" w:hAnsi="Times New Roman"/>
                <w:b/>
                <w:sz w:val="20"/>
              </w:rPr>
              <w:t>Test instances</w:t>
            </w:r>
          </w:p>
        </w:tc>
        <w:tc>
          <w:tcPr>
            <w:tcW w:type="dxa" w:w="936"/>
          </w:tcPr>
          <w:p>
            <w:r/>
            <w:r>
              <w:rPr>
                <w:rFonts w:ascii="Times New Roman" w:hAnsi="Times New Roman"/>
                <w:b/>
                <w:sz w:val="20"/>
              </w:rPr>
              <w:t>Mean</w:t>
            </w:r>
          </w:p>
        </w:tc>
        <w:tc>
          <w:tcPr>
            <w:tcW w:type="dxa" w:w="1224"/>
          </w:tcPr>
          <w:p>
            <w:r/>
            <w:r>
              <w:rPr>
                <w:rFonts w:ascii="Times New Roman" w:hAnsi="Times New Roman"/>
                <w:b/>
                <w:sz w:val="20"/>
              </w:rPr>
              <w:t>95% CI lower</w:t>
            </w:r>
          </w:p>
        </w:tc>
        <w:tc>
          <w:tcPr>
            <w:tcW w:type="dxa" w:w="1224"/>
          </w:tcPr>
          <w:p>
            <w:r/>
            <w:r>
              <w:rPr>
                <w:rFonts w:ascii="Times New Roman" w:hAnsi="Times New Roman"/>
                <w:b/>
                <w:sz w:val="20"/>
              </w:rPr>
              <w:t>95% CI upper</w:t>
            </w:r>
          </w:p>
        </w:tc>
        <w:tc>
          <w:tcPr>
            <w:tcW w:type="dxa" w:w="1008"/>
          </w:tcPr>
          <w:p>
            <w:r/>
            <w:r>
              <w:rPr>
                <w:rFonts w:ascii="Times New Roman" w:hAnsi="Times New Roman"/>
                <w:b/>
                <w:sz w:val="20"/>
              </w:rPr>
              <w:t>CI width</w:t>
            </w:r>
          </w:p>
        </w:tc>
        <w:tc>
          <w:tcPr>
            <w:tcW w:type="dxa" w:w="936"/>
          </w:tcPr>
          <w:p>
            <w:r/>
            <w:r>
              <w:rPr>
                <w:rFonts w:ascii="Times New Roman" w:hAnsi="Times New Roman"/>
                <w:b/>
                <w:sz w:val="20"/>
              </w:rPr>
              <w:t>Seed SD</w:t>
            </w:r>
          </w:p>
        </w:tc>
      </w:tr>
      <w:tr>
        <w:tc>
          <w:tcPr>
            <w:tcW w:type="dxa" w:w="2160"/>
          </w:tcPr>
          <w:p>
            <w:r/>
            <w:r>
              <w:rPr>
                <w:rFonts w:ascii="Times New Roman" w:hAnsi="Times New Roman"/>
                <w:b w:val="0"/>
                <w:sz w:val="20"/>
              </w:rPr>
              <w:t>Symptom macro-F1</w:t>
            </w:r>
          </w:p>
        </w:tc>
        <w:tc>
          <w:tcPr>
            <w:tcW w:type="dxa" w:w="1368"/>
          </w:tcPr>
          <w:p>
            <w:r/>
            <w:r>
              <w:rPr>
                <w:rFonts w:ascii="Times New Roman" w:hAnsi="Times New Roman"/>
                <w:b w:val="0"/>
                <w:sz w:val="20"/>
              </w:rPr>
              <w:t>1,956</w:t>
            </w:r>
          </w:p>
        </w:tc>
        <w:tc>
          <w:tcPr>
            <w:tcW w:type="dxa" w:w="936"/>
          </w:tcPr>
          <w:p>
            <w:r/>
            <w:r>
              <w:rPr>
                <w:rFonts w:ascii="Times New Roman" w:hAnsi="Times New Roman"/>
                <w:b w:val="0"/>
                <w:sz w:val="20"/>
              </w:rPr>
              <w:t>X.XXX</w:t>
            </w:r>
          </w:p>
        </w:tc>
        <w:tc>
          <w:tcPr>
            <w:tcW w:type="dxa" w:w="1224"/>
          </w:tcPr>
          <w:p>
            <w:r/>
            <w:r>
              <w:rPr>
                <w:rFonts w:ascii="Times New Roman" w:hAnsi="Times New Roman"/>
                <w:b w:val="0"/>
                <w:sz w:val="20"/>
              </w:rPr>
              <w:t>X.XXX</w:t>
            </w:r>
          </w:p>
        </w:tc>
        <w:tc>
          <w:tcPr>
            <w:tcW w:type="dxa" w:w="1224"/>
          </w:tcPr>
          <w:p>
            <w:r/>
            <w:r>
              <w:rPr>
                <w:rFonts w:ascii="Times New Roman" w:hAnsi="Times New Roman"/>
                <w:b w:val="0"/>
                <w:sz w:val="20"/>
              </w:rPr>
              <w:t>X.XXX</w:t>
            </w:r>
          </w:p>
        </w:tc>
        <w:tc>
          <w:tcPr>
            <w:tcW w:type="dxa" w:w="1008"/>
          </w:tcPr>
          <w:p>
            <w:r/>
            <w:r>
              <w:rPr>
                <w:rFonts w:ascii="Times New Roman" w:hAnsi="Times New Roman"/>
                <w:b w:val="0"/>
                <w:sz w:val="20"/>
              </w:rPr>
              <w:t>X.XXX</w:t>
            </w:r>
          </w:p>
        </w:tc>
        <w:tc>
          <w:tcPr>
            <w:tcW w:type="dxa" w:w="936"/>
          </w:tcPr>
          <w:p>
            <w:r/>
            <w:r>
              <w:rPr>
                <w:rFonts w:ascii="Times New Roman" w:hAnsi="Times New Roman"/>
                <w:b w:val="0"/>
                <w:sz w:val="20"/>
              </w:rPr>
              <w:t>X.XXX</w:t>
            </w:r>
          </w:p>
        </w:tc>
      </w:tr>
      <w:tr>
        <w:tc>
          <w:tcPr>
            <w:tcW w:type="dxa" w:w="2160"/>
          </w:tcPr>
          <w:p>
            <w:r/>
            <w:r>
              <w:rPr>
                <w:rFonts w:ascii="Times New Roman" w:hAnsi="Times New Roman"/>
                <w:b w:val="0"/>
                <w:sz w:val="20"/>
              </w:rPr>
              <w:t>Symptom macro-AUROC</w:t>
            </w:r>
          </w:p>
        </w:tc>
        <w:tc>
          <w:tcPr>
            <w:tcW w:type="dxa" w:w="1368"/>
          </w:tcPr>
          <w:p>
            <w:r/>
            <w:r>
              <w:rPr>
                <w:rFonts w:ascii="Times New Roman" w:hAnsi="Times New Roman"/>
                <w:b w:val="0"/>
                <w:sz w:val="20"/>
              </w:rPr>
              <w:t>1,956</w:t>
            </w:r>
          </w:p>
        </w:tc>
        <w:tc>
          <w:tcPr>
            <w:tcW w:type="dxa" w:w="936"/>
          </w:tcPr>
          <w:p>
            <w:r/>
            <w:r>
              <w:rPr>
                <w:rFonts w:ascii="Times New Roman" w:hAnsi="Times New Roman"/>
                <w:b w:val="0"/>
                <w:sz w:val="20"/>
              </w:rPr>
              <w:t>X.XXX</w:t>
            </w:r>
          </w:p>
        </w:tc>
        <w:tc>
          <w:tcPr>
            <w:tcW w:type="dxa" w:w="1224"/>
          </w:tcPr>
          <w:p>
            <w:r/>
            <w:r>
              <w:rPr>
                <w:rFonts w:ascii="Times New Roman" w:hAnsi="Times New Roman"/>
                <w:b w:val="0"/>
                <w:sz w:val="20"/>
              </w:rPr>
              <w:t>X.XXX</w:t>
            </w:r>
          </w:p>
        </w:tc>
        <w:tc>
          <w:tcPr>
            <w:tcW w:type="dxa" w:w="1224"/>
          </w:tcPr>
          <w:p>
            <w:r/>
            <w:r>
              <w:rPr>
                <w:rFonts w:ascii="Times New Roman" w:hAnsi="Times New Roman"/>
                <w:b w:val="0"/>
                <w:sz w:val="20"/>
              </w:rPr>
              <w:t>X.XXX</w:t>
            </w:r>
          </w:p>
        </w:tc>
        <w:tc>
          <w:tcPr>
            <w:tcW w:type="dxa" w:w="1008"/>
          </w:tcPr>
          <w:p>
            <w:r/>
            <w:r>
              <w:rPr>
                <w:rFonts w:ascii="Times New Roman" w:hAnsi="Times New Roman"/>
                <w:b w:val="0"/>
                <w:sz w:val="20"/>
              </w:rPr>
              <w:t>X.XXX</w:t>
            </w:r>
          </w:p>
        </w:tc>
        <w:tc>
          <w:tcPr>
            <w:tcW w:type="dxa" w:w="936"/>
          </w:tcPr>
          <w:p>
            <w:r/>
            <w:r>
              <w:rPr>
                <w:rFonts w:ascii="Times New Roman" w:hAnsi="Times New Roman"/>
                <w:b w:val="0"/>
                <w:sz w:val="20"/>
              </w:rPr>
              <w:t>X.XXX</w:t>
            </w:r>
          </w:p>
        </w:tc>
      </w:tr>
      <w:tr>
        <w:tc>
          <w:tcPr>
            <w:tcW w:type="dxa" w:w="2160"/>
          </w:tcPr>
          <w:p>
            <w:r/>
            <w:r>
              <w:rPr>
                <w:rFonts w:ascii="Times New Roman" w:hAnsi="Times New Roman"/>
                <w:b w:val="0"/>
                <w:sz w:val="20"/>
              </w:rPr>
              <w:t>Stress AUROC</w:t>
            </w:r>
          </w:p>
        </w:tc>
        <w:tc>
          <w:tcPr>
            <w:tcW w:type="dxa" w:w="1368"/>
          </w:tcPr>
          <w:p>
            <w:r/>
            <w:r>
              <w:rPr>
                <w:rFonts w:ascii="Times New Roman" w:hAnsi="Times New Roman"/>
                <w:b w:val="0"/>
                <w:sz w:val="20"/>
              </w:rPr>
              <w:t>≈700</w:t>
            </w:r>
          </w:p>
        </w:tc>
        <w:tc>
          <w:tcPr>
            <w:tcW w:type="dxa" w:w="936"/>
          </w:tcPr>
          <w:p>
            <w:r/>
            <w:r>
              <w:rPr>
                <w:rFonts w:ascii="Times New Roman" w:hAnsi="Times New Roman"/>
                <w:b w:val="0"/>
                <w:sz w:val="20"/>
              </w:rPr>
              <w:t>X.XXX</w:t>
            </w:r>
          </w:p>
        </w:tc>
        <w:tc>
          <w:tcPr>
            <w:tcW w:type="dxa" w:w="1224"/>
          </w:tcPr>
          <w:p>
            <w:r/>
            <w:r>
              <w:rPr>
                <w:rFonts w:ascii="Times New Roman" w:hAnsi="Times New Roman"/>
                <w:b w:val="0"/>
                <w:sz w:val="20"/>
              </w:rPr>
              <w:t>X.XXX</w:t>
            </w:r>
          </w:p>
        </w:tc>
        <w:tc>
          <w:tcPr>
            <w:tcW w:type="dxa" w:w="1224"/>
          </w:tcPr>
          <w:p>
            <w:r/>
            <w:r>
              <w:rPr>
                <w:rFonts w:ascii="Times New Roman" w:hAnsi="Times New Roman"/>
                <w:b w:val="0"/>
                <w:sz w:val="20"/>
              </w:rPr>
              <w:t>X.XXX</w:t>
            </w:r>
          </w:p>
        </w:tc>
        <w:tc>
          <w:tcPr>
            <w:tcW w:type="dxa" w:w="1008"/>
          </w:tcPr>
          <w:p>
            <w:r/>
            <w:r>
              <w:rPr>
                <w:rFonts w:ascii="Times New Roman" w:hAnsi="Times New Roman"/>
                <w:b w:val="0"/>
                <w:sz w:val="20"/>
              </w:rPr>
              <w:t>X.XXX</w:t>
            </w:r>
          </w:p>
        </w:tc>
        <w:tc>
          <w:tcPr>
            <w:tcW w:type="dxa" w:w="936"/>
          </w:tcPr>
          <w:p>
            <w:r/>
            <w:r>
              <w:rPr>
                <w:rFonts w:ascii="Times New Roman" w:hAnsi="Times New Roman"/>
                <w:b w:val="0"/>
                <w:sz w:val="20"/>
              </w:rPr>
              <w:t>X.XXX</w:t>
            </w:r>
          </w:p>
        </w:tc>
      </w:tr>
      <w:tr>
        <w:tc>
          <w:tcPr>
            <w:tcW w:type="dxa" w:w="2160"/>
          </w:tcPr>
          <w:p>
            <w:r/>
            <w:r>
              <w:rPr>
                <w:rFonts w:ascii="Times New Roman" w:hAnsi="Times New Roman"/>
                <w:b w:val="0"/>
                <w:sz w:val="20"/>
              </w:rPr>
              <w:t>Severity QWK</w:t>
            </w:r>
          </w:p>
        </w:tc>
        <w:tc>
          <w:tcPr>
            <w:tcW w:type="dxa" w:w="1368"/>
          </w:tcPr>
          <w:p>
            <w:r/>
            <w:r>
              <w:rPr>
                <w:rFonts w:ascii="Times New Roman" w:hAnsi="Times New Roman"/>
                <w:b w:val="0"/>
                <w:sz w:val="20"/>
              </w:rPr>
              <w:t>541</w:t>
            </w:r>
          </w:p>
        </w:tc>
        <w:tc>
          <w:tcPr>
            <w:tcW w:type="dxa" w:w="936"/>
          </w:tcPr>
          <w:p>
            <w:r/>
            <w:r>
              <w:rPr>
                <w:rFonts w:ascii="Times New Roman" w:hAnsi="Times New Roman"/>
                <w:b w:val="0"/>
                <w:sz w:val="20"/>
              </w:rPr>
              <w:t>X.XXX</w:t>
            </w:r>
          </w:p>
        </w:tc>
        <w:tc>
          <w:tcPr>
            <w:tcW w:type="dxa" w:w="1224"/>
          </w:tcPr>
          <w:p>
            <w:r/>
            <w:r>
              <w:rPr>
                <w:rFonts w:ascii="Times New Roman" w:hAnsi="Times New Roman"/>
                <w:b w:val="0"/>
                <w:sz w:val="20"/>
              </w:rPr>
              <w:t>X.XXX</w:t>
            </w:r>
          </w:p>
        </w:tc>
        <w:tc>
          <w:tcPr>
            <w:tcW w:type="dxa" w:w="1224"/>
          </w:tcPr>
          <w:p>
            <w:r/>
            <w:r>
              <w:rPr>
                <w:rFonts w:ascii="Times New Roman" w:hAnsi="Times New Roman"/>
                <w:b w:val="0"/>
                <w:sz w:val="20"/>
              </w:rPr>
              <w:t>X.XXX</w:t>
            </w:r>
          </w:p>
        </w:tc>
        <w:tc>
          <w:tcPr>
            <w:tcW w:type="dxa" w:w="1008"/>
          </w:tcPr>
          <w:p>
            <w:r/>
            <w:r>
              <w:rPr>
                <w:rFonts w:ascii="Times New Roman" w:hAnsi="Times New Roman"/>
                <w:b w:val="0"/>
                <w:sz w:val="20"/>
              </w:rPr>
              <w:t>X.XXX</w:t>
            </w:r>
          </w:p>
        </w:tc>
        <w:tc>
          <w:tcPr>
            <w:tcW w:type="dxa" w:w="936"/>
          </w:tcPr>
          <w:p>
            <w:r/>
            <w:r>
              <w:rPr>
                <w:rFonts w:ascii="Times New Roman" w:hAnsi="Times New Roman"/>
                <w:b w:val="0"/>
                <w:sz w:val="20"/>
              </w:rPr>
              <w:t>X.XXX</w:t>
            </w:r>
          </w:p>
        </w:tc>
      </w:tr>
      <w:tr>
        <w:tc>
          <w:tcPr>
            <w:tcW w:type="dxa" w:w="2160"/>
          </w:tcPr>
          <w:p>
            <w:r/>
            <w:r>
              <w:rPr>
                <w:rFonts w:ascii="Times New Roman" w:hAnsi="Times New Roman"/>
                <w:b w:val="0"/>
                <w:sz w:val="20"/>
              </w:rPr>
              <w:t>Risk QWK</w:t>
            </w:r>
          </w:p>
        </w:tc>
        <w:tc>
          <w:tcPr>
            <w:tcW w:type="dxa" w:w="1368"/>
          </w:tcPr>
          <w:p>
            <w:r/>
            <w:r>
              <w:rPr>
                <w:rFonts w:ascii="Times New Roman" w:hAnsi="Times New Roman"/>
                <w:b w:val="0"/>
                <w:sz w:val="20"/>
              </w:rPr>
              <w:t>74</w:t>
            </w:r>
          </w:p>
        </w:tc>
        <w:tc>
          <w:tcPr>
            <w:tcW w:type="dxa" w:w="936"/>
          </w:tcPr>
          <w:p>
            <w:r/>
            <w:r>
              <w:rPr>
                <w:rFonts w:ascii="Times New Roman" w:hAnsi="Times New Roman"/>
                <w:b w:val="0"/>
                <w:sz w:val="20"/>
              </w:rPr>
              <w:t>X.XXX</w:t>
            </w:r>
          </w:p>
        </w:tc>
        <w:tc>
          <w:tcPr>
            <w:tcW w:type="dxa" w:w="1224"/>
          </w:tcPr>
          <w:p>
            <w:r/>
            <w:r>
              <w:rPr>
                <w:rFonts w:ascii="Times New Roman" w:hAnsi="Times New Roman"/>
                <w:b w:val="0"/>
                <w:sz w:val="20"/>
              </w:rPr>
              <w:t>X.XXX</w:t>
            </w:r>
          </w:p>
        </w:tc>
        <w:tc>
          <w:tcPr>
            <w:tcW w:type="dxa" w:w="1224"/>
          </w:tcPr>
          <w:p>
            <w:r/>
            <w:r>
              <w:rPr>
                <w:rFonts w:ascii="Times New Roman" w:hAnsi="Times New Roman"/>
                <w:b w:val="0"/>
                <w:sz w:val="20"/>
              </w:rPr>
              <w:t>X.XXX</w:t>
            </w:r>
          </w:p>
        </w:tc>
        <w:tc>
          <w:tcPr>
            <w:tcW w:type="dxa" w:w="1008"/>
          </w:tcPr>
          <w:p>
            <w:r/>
            <w:r>
              <w:rPr>
                <w:rFonts w:ascii="Times New Roman" w:hAnsi="Times New Roman"/>
                <w:b w:val="0"/>
                <w:sz w:val="20"/>
              </w:rPr>
              <w:t>X.XXX</w:t>
            </w:r>
          </w:p>
        </w:tc>
        <w:tc>
          <w:tcPr>
            <w:tcW w:type="dxa" w:w="936"/>
          </w:tcPr>
          <w:p>
            <w:r/>
            <w:r>
              <w:rPr>
                <w:rFonts w:ascii="Times New Roman" w:hAnsi="Times New Roman"/>
                <w:b w:val="0"/>
                <w:sz w:val="20"/>
              </w:rPr>
              <w:t>X.XXX</w:t>
            </w:r>
          </w:p>
        </w:tc>
      </w:tr>
    </w:tbl>
    <w:p/>
    <w:p>
      <w:pPr>
        <w:jc w:val="both"/>
      </w:pPr>
      <w:r>
        <w:rPr>
          <w:rFonts w:ascii="Times New Roman" w:hAnsi="Times New Roman"/>
          <w:b/>
          <w:sz w:val="24"/>
        </w:rPr>
        <w:t>Table 8. Paired bootstrap comparison of the proposed framework against each competing condition, over 1,000 resamples of the test split.</w:t>
      </w:r>
    </w:p>
    <w:tbl>
      <w:tblPr>
        <w:tblStyle w:val="TableGrid"/>
        <w:tblW w:type="auto" w:w="0"/>
        <w:tblLook w:firstColumn="1" w:firstRow="1" w:lastColumn="0" w:lastRow="0" w:noHBand="0" w:noVBand="1" w:val="04A0"/>
      </w:tblPr>
      <w:tblGrid>
        <w:gridCol w:w="1505"/>
        <w:gridCol w:w="1505"/>
        <w:gridCol w:w="1505"/>
        <w:gridCol w:w="1505"/>
        <w:gridCol w:w="1505"/>
        <w:gridCol w:w="1505"/>
      </w:tblGrid>
      <w:tr>
        <w:tc>
          <w:tcPr>
            <w:tcW w:type="dxa" w:w="2664"/>
          </w:tcPr>
          <w:p>
            <w:r/>
            <w:r>
              <w:rPr>
                <w:rFonts w:ascii="Times New Roman" w:hAnsi="Times New Roman"/>
                <w:b/>
                <w:sz w:val="20"/>
              </w:rPr>
              <w:t>Comparison</w:t>
            </w:r>
          </w:p>
        </w:tc>
        <w:tc>
          <w:tcPr>
            <w:tcW w:type="dxa" w:w="1872"/>
          </w:tcPr>
          <w:p>
            <w:r/>
            <w:r>
              <w:rPr>
                <w:rFonts w:ascii="Times New Roman" w:hAnsi="Times New Roman"/>
                <w:b/>
                <w:sz w:val="20"/>
              </w:rPr>
              <w:t>Metric</w:t>
            </w:r>
          </w:p>
        </w:tc>
        <w:tc>
          <w:tcPr>
            <w:tcW w:type="dxa" w:w="1368"/>
          </w:tcPr>
          <w:p>
            <w:r/>
            <w:r>
              <w:rPr>
                <w:rFonts w:ascii="Times New Roman" w:hAnsi="Times New Roman"/>
                <w:b/>
                <w:sz w:val="20"/>
              </w:rPr>
              <w:t>Mean difference</w:t>
            </w:r>
          </w:p>
        </w:tc>
        <w:tc>
          <w:tcPr>
            <w:tcW w:type="dxa" w:w="936"/>
          </w:tcPr>
          <w:p>
            <w:r/>
            <w:r>
              <w:rPr>
                <w:rFonts w:ascii="Times New Roman" w:hAnsi="Times New Roman"/>
                <w:b/>
                <w:sz w:val="20"/>
              </w:rPr>
              <w:t>Maximum p</w:t>
            </w:r>
          </w:p>
        </w:tc>
        <w:tc>
          <w:tcPr>
            <w:tcW w:type="dxa" w:w="1152"/>
          </w:tcPr>
          <w:p>
            <w:r/>
            <w:r>
              <w:rPr>
                <w:rFonts w:ascii="Times New Roman" w:hAnsi="Times New Roman"/>
                <w:b/>
                <w:sz w:val="20"/>
              </w:rPr>
              <w:t>Sign consistent</w:t>
            </w:r>
          </w:p>
        </w:tc>
        <w:tc>
          <w:tcPr>
            <w:tcW w:type="dxa" w:w="1008"/>
          </w:tcPr>
          <w:p>
            <w:r/>
            <w:r>
              <w:rPr>
                <w:rFonts w:ascii="Times New Roman" w:hAnsi="Times New Roman"/>
                <w:b/>
                <w:sz w:val="20"/>
              </w:rPr>
              <w:t>Established</w:t>
            </w:r>
          </w:p>
        </w:tc>
      </w:tr>
      <w:tr>
        <w:tc>
          <w:tcPr>
            <w:tcW w:type="dxa" w:w="2664"/>
          </w:tcPr>
          <w:p>
            <w:r/>
            <w:r>
              <w:rPr>
                <w:rFonts w:ascii="Times New Roman" w:hAnsi="Times New Roman"/>
                <w:b w:val="0"/>
                <w:sz w:val="20"/>
              </w:rPr>
              <w:t>Proposed vs MentalRoBERTa</w:t>
            </w:r>
          </w:p>
        </w:tc>
        <w:tc>
          <w:tcPr>
            <w:tcW w:type="dxa" w:w="1872"/>
          </w:tcPr>
          <w:p>
            <w:r/>
            <w:r>
              <w:rPr>
                <w:rFonts w:ascii="Times New Roman" w:hAnsi="Times New Roman"/>
                <w:b w:val="0"/>
                <w:sz w:val="20"/>
              </w:rPr>
              <w:t>Symptom macro-AUROC</w:t>
            </w:r>
          </w:p>
        </w:tc>
        <w:tc>
          <w:tcPr>
            <w:tcW w:type="dxa" w:w="1368"/>
          </w:tcPr>
          <w:p>
            <w:r/>
            <w:r>
              <w:rPr>
                <w:rFonts w:ascii="Times New Roman" w:hAnsi="Times New Roman"/>
                <w:b w:val="0"/>
                <w:sz w:val="20"/>
              </w:rPr>
              <w:t>X.XXX</w:t>
            </w:r>
          </w:p>
        </w:tc>
        <w:tc>
          <w:tcPr>
            <w:tcW w:type="dxa" w:w="936"/>
          </w:tcPr>
          <w:p>
            <w:r/>
            <w:r>
              <w:rPr>
                <w:rFonts w:ascii="Times New Roman" w:hAnsi="Times New Roman"/>
                <w:b w:val="0"/>
                <w:sz w:val="20"/>
              </w:rPr>
              <w:t>X.XXX</w:t>
            </w:r>
          </w:p>
        </w:tc>
        <w:tc>
          <w:tcPr>
            <w:tcW w:type="dxa" w:w="1152"/>
          </w:tcPr>
          <w:p>
            <w:r/>
            <w:r>
              <w:rPr>
                <w:rFonts w:ascii="Times New Roman" w:hAnsi="Times New Roman"/>
                <w:b w:val="0"/>
                <w:sz w:val="20"/>
              </w:rPr>
              <w:t>–</w:t>
            </w:r>
          </w:p>
        </w:tc>
        <w:tc>
          <w:tcPr>
            <w:tcW w:type="dxa" w:w="1008"/>
          </w:tcPr>
          <w:p>
            <w:r/>
            <w:r>
              <w:rPr>
                <w:rFonts w:ascii="Times New Roman" w:hAnsi="Times New Roman"/>
                <w:b w:val="0"/>
                <w:sz w:val="20"/>
              </w:rPr>
              <w:t>–</w:t>
            </w:r>
          </w:p>
        </w:tc>
      </w:tr>
      <w:tr>
        <w:tc>
          <w:tcPr>
            <w:tcW w:type="dxa" w:w="2664"/>
          </w:tcPr>
          <w:p>
            <w:r/>
            <w:r>
              <w:rPr>
                <w:rFonts w:ascii="Times New Roman" w:hAnsi="Times New Roman"/>
                <w:b w:val="0"/>
                <w:sz w:val="20"/>
              </w:rPr>
              <w:t>Proposed vs ensemble, after [11]</w:t>
            </w:r>
          </w:p>
        </w:tc>
        <w:tc>
          <w:tcPr>
            <w:tcW w:type="dxa" w:w="1872"/>
          </w:tcPr>
          <w:p>
            <w:r/>
            <w:r>
              <w:rPr>
                <w:rFonts w:ascii="Times New Roman" w:hAnsi="Times New Roman"/>
                <w:b w:val="0"/>
                <w:sz w:val="20"/>
              </w:rPr>
              <w:t>Symptom macro-AUROC</w:t>
            </w:r>
          </w:p>
        </w:tc>
        <w:tc>
          <w:tcPr>
            <w:tcW w:type="dxa" w:w="1368"/>
          </w:tcPr>
          <w:p>
            <w:r/>
            <w:r>
              <w:rPr>
                <w:rFonts w:ascii="Times New Roman" w:hAnsi="Times New Roman"/>
                <w:b w:val="0"/>
                <w:sz w:val="20"/>
              </w:rPr>
              <w:t>X.XXX</w:t>
            </w:r>
          </w:p>
        </w:tc>
        <w:tc>
          <w:tcPr>
            <w:tcW w:type="dxa" w:w="936"/>
          </w:tcPr>
          <w:p>
            <w:r/>
            <w:r>
              <w:rPr>
                <w:rFonts w:ascii="Times New Roman" w:hAnsi="Times New Roman"/>
                <w:b w:val="0"/>
                <w:sz w:val="20"/>
              </w:rPr>
              <w:t>X.XXX</w:t>
            </w:r>
          </w:p>
        </w:tc>
        <w:tc>
          <w:tcPr>
            <w:tcW w:type="dxa" w:w="1152"/>
          </w:tcPr>
          <w:p>
            <w:r/>
            <w:r>
              <w:rPr>
                <w:rFonts w:ascii="Times New Roman" w:hAnsi="Times New Roman"/>
                <w:b w:val="0"/>
                <w:sz w:val="20"/>
              </w:rPr>
              <w:t>–</w:t>
            </w:r>
          </w:p>
        </w:tc>
        <w:tc>
          <w:tcPr>
            <w:tcW w:type="dxa" w:w="1008"/>
          </w:tcPr>
          <w:p>
            <w:r/>
            <w:r>
              <w:rPr>
                <w:rFonts w:ascii="Times New Roman" w:hAnsi="Times New Roman"/>
                <w:b w:val="0"/>
                <w:sz w:val="20"/>
              </w:rPr>
              <w:t>–</w:t>
            </w:r>
          </w:p>
        </w:tc>
      </w:tr>
      <w:tr>
        <w:tc>
          <w:tcPr>
            <w:tcW w:type="dxa" w:w="2664"/>
          </w:tcPr>
          <w:p>
            <w:r/>
            <w:r>
              <w:rPr>
                <w:rFonts w:ascii="Times New Roman" w:hAnsi="Times New Roman"/>
                <w:b w:val="0"/>
                <w:sz w:val="20"/>
              </w:rPr>
              <w:t>Proposed vs post-graph, after [18]</w:t>
            </w:r>
          </w:p>
        </w:tc>
        <w:tc>
          <w:tcPr>
            <w:tcW w:type="dxa" w:w="1872"/>
          </w:tcPr>
          <w:p>
            <w:r/>
            <w:r>
              <w:rPr>
                <w:rFonts w:ascii="Times New Roman" w:hAnsi="Times New Roman"/>
                <w:b w:val="0"/>
                <w:sz w:val="20"/>
              </w:rPr>
              <w:t>Symptom macro-AUROC</w:t>
            </w:r>
          </w:p>
        </w:tc>
        <w:tc>
          <w:tcPr>
            <w:tcW w:type="dxa" w:w="1368"/>
          </w:tcPr>
          <w:p>
            <w:r/>
            <w:r>
              <w:rPr>
                <w:rFonts w:ascii="Times New Roman" w:hAnsi="Times New Roman"/>
                <w:b w:val="0"/>
                <w:sz w:val="20"/>
              </w:rPr>
              <w:t>X.XXX</w:t>
            </w:r>
          </w:p>
        </w:tc>
        <w:tc>
          <w:tcPr>
            <w:tcW w:type="dxa" w:w="936"/>
          </w:tcPr>
          <w:p>
            <w:r/>
            <w:r>
              <w:rPr>
                <w:rFonts w:ascii="Times New Roman" w:hAnsi="Times New Roman"/>
                <w:b w:val="0"/>
                <w:sz w:val="20"/>
              </w:rPr>
              <w:t>X.XXX</w:t>
            </w:r>
          </w:p>
        </w:tc>
        <w:tc>
          <w:tcPr>
            <w:tcW w:type="dxa" w:w="1152"/>
          </w:tcPr>
          <w:p>
            <w:r/>
            <w:r>
              <w:rPr>
                <w:rFonts w:ascii="Times New Roman" w:hAnsi="Times New Roman"/>
                <w:b w:val="0"/>
                <w:sz w:val="20"/>
              </w:rPr>
              <w:t>–</w:t>
            </w:r>
          </w:p>
        </w:tc>
        <w:tc>
          <w:tcPr>
            <w:tcW w:type="dxa" w:w="1008"/>
          </w:tcPr>
          <w:p>
            <w:r/>
            <w:r>
              <w:rPr>
                <w:rFonts w:ascii="Times New Roman" w:hAnsi="Times New Roman"/>
                <w:b w:val="0"/>
                <w:sz w:val="20"/>
              </w:rPr>
              <w:t>–</w:t>
            </w:r>
          </w:p>
        </w:tc>
      </w:tr>
      <w:tr>
        <w:tc>
          <w:tcPr>
            <w:tcW w:type="dxa" w:w="2664"/>
          </w:tcPr>
          <w:p>
            <w:r/>
            <w:r>
              <w:rPr>
                <w:rFonts w:ascii="Times New Roman" w:hAnsi="Times New Roman"/>
                <w:b w:val="0"/>
                <w:sz w:val="20"/>
              </w:rPr>
              <w:t>Proposed vs prompt ensemble, after [21]</w:t>
            </w:r>
          </w:p>
        </w:tc>
        <w:tc>
          <w:tcPr>
            <w:tcW w:type="dxa" w:w="1872"/>
          </w:tcPr>
          <w:p>
            <w:r/>
            <w:r>
              <w:rPr>
                <w:rFonts w:ascii="Times New Roman" w:hAnsi="Times New Roman"/>
                <w:b w:val="0"/>
                <w:sz w:val="20"/>
              </w:rPr>
              <w:t>Symptom macro-AUROC</w:t>
            </w:r>
          </w:p>
        </w:tc>
        <w:tc>
          <w:tcPr>
            <w:tcW w:type="dxa" w:w="1368"/>
          </w:tcPr>
          <w:p>
            <w:r/>
            <w:r>
              <w:rPr>
                <w:rFonts w:ascii="Times New Roman" w:hAnsi="Times New Roman"/>
                <w:b w:val="0"/>
                <w:sz w:val="20"/>
              </w:rPr>
              <w:t>X.XXX</w:t>
            </w:r>
          </w:p>
        </w:tc>
        <w:tc>
          <w:tcPr>
            <w:tcW w:type="dxa" w:w="936"/>
          </w:tcPr>
          <w:p>
            <w:r/>
            <w:r>
              <w:rPr>
                <w:rFonts w:ascii="Times New Roman" w:hAnsi="Times New Roman"/>
                <w:b w:val="0"/>
                <w:sz w:val="20"/>
              </w:rPr>
              <w:t>X.XXX</w:t>
            </w:r>
          </w:p>
        </w:tc>
        <w:tc>
          <w:tcPr>
            <w:tcW w:type="dxa" w:w="1152"/>
          </w:tcPr>
          <w:p>
            <w:r/>
            <w:r>
              <w:rPr>
                <w:rFonts w:ascii="Times New Roman" w:hAnsi="Times New Roman"/>
                <w:b w:val="0"/>
                <w:sz w:val="20"/>
              </w:rPr>
              <w:t>–</w:t>
            </w:r>
          </w:p>
        </w:tc>
        <w:tc>
          <w:tcPr>
            <w:tcW w:type="dxa" w:w="1008"/>
          </w:tcPr>
          <w:p>
            <w:r/>
            <w:r>
              <w:rPr>
                <w:rFonts w:ascii="Times New Roman" w:hAnsi="Times New Roman"/>
                <w:b w:val="0"/>
                <w:sz w:val="20"/>
              </w:rPr>
              <w:t>–</w:t>
            </w:r>
          </w:p>
        </w:tc>
      </w:tr>
      <w:tr>
        <w:tc>
          <w:tcPr>
            <w:tcW w:type="dxa" w:w="2664"/>
          </w:tcPr>
          <w:p>
            <w:r/>
            <w:r>
              <w:rPr>
                <w:rFonts w:ascii="Times New Roman" w:hAnsi="Times New Roman"/>
                <w:b w:val="0"/>
                <w:sz w:val="20"/>
              </w:rPr>
              <w:t>M1 → M2 (monotone head)</w:t>
            </w:r>
          </w:p>
        </w:tc>
        <w:tc>
          <w:tcPr>
            <w:tcW w:type="dxa" w:w="1872"/>
          </w:tcPr>
          <w:p>
            <w:r/>
            <w:r>
              <w:rPr>
                <w:rFonts w:ascii="Times New Roman" w:hAnsi="Times New Roman"/>
                <w:b w:val="0"/>
                <w:sz w:val="20"/>
              </w:rPr>
              <w:t>Severity QWK</w:t>
            </w:r>
          </w:p>
        </w:tc>
        <w:tc>
          <w:tcPr>
            <w:tcW w:type="dxa" w:w="1368"/>
          </w:tcPr>
          <w:p>
            <w:r/>
            <w:r>
              <w:rPr>
                <w:rFonts w:ascii="Times New Roman" w:hAnsi="Times New Roman"/>
                <w:b w:val="0"/>
                <w:sz w:val="20"/>
              </w:rPr>
              <w:t>X.XXX</w:t>
            </w:r>
          </w:p>
        </w:tc>
        <w:tc>
          <w:tcPr>
            <w:tcW w:type="dxa" w:w="936"/>
          </w:tcPr>
          <w:p>
            <w:r/>
            <w:r>
              <w:rPr>
                <w:rFonts w:ascii="Times New Roman" w:hAnsi="Times New Roman"/>
                <w:b w:val="0"/>
                <w:sz w:val="20"/>
              </w:rPr>
              <w:t>X.XXX</w:t>
            </w:r>
          </w:p>
        </w:tc>
        <w:tc>
          <w:tcPr>
            <w:tcW w:type="dxa" w:w="1152"/>
          </w:tcPr>
          <w:p>
            <w:r/>
            <w:r>
              <w:rPr>
                <w:rFonts w:ascii="Times New Roman" w:hAnsi="Times New Roman"/>
                <w:b w:val="0"/>
                <w:sz w:val="20"/>
              </w:rPr>
              <w:t>–</w:t>
            </w:r>
          </w:p>
        </w:tc>
        <w:tc>
          <w:tcPr>
            <w:tcW w:type="dxa" w:w="1008"/>
          </w:tcPr>
          <w:p>
            <w:r/>
            <w:r>
              <w:rPr>
                <w:rFonts w:ascii="Times New Roman" w:hAnsi="Times New Roman"/>
                <w:b w:val="0"/>
                <w:sz w:val="20"/>
              </w:rPr>
              <w:t>–</w:t>
            </w:r>
          </w:p>
        </w:tc>
      </w:tr>
      <w:tr>
        <w:tc>
          <w:tcPr>
            <w:tcW w:type="dxa" w:w="2664"/>
          </w:tcPr>
          <w:p>
            <w:r/>
            <w:r>
              <w:rPr>
                <w:rFonts w:ascii="Times New Roman" w:hAnsi="Times New Roman"/>
                <w:b w:val="0"/>
                <w:sz w:val="20"/>
              </w:rPr>
              <w:t>M2 → M3 (weak supervision)</w:t>
            </w:r>
          </w:p>
        </w:tc>
        <w:tc>
          <w:tcPr>
            <w:tcW w:type="dxa" w:w="1872"/>
          </w:tcPr>
          <w:p>
            <w:r/>
            <w:r>
              <w:rPr>
                <w:rFonts w:ascii="Times New Roman" w:hAnsi="Times New Roman"/>
                <w:b w:val="0"/>
                <w:sz w:val="20"/>
              </w:rPr>
              <w:t>Symptom macro-AUROC</w:t>
            </w:r>
          </w:p>
        </w:tc>
        <w:tc>
          <w:tcPr>
            <w:tcW w:type="dxa" w:w="1368"/>
          </w:tcPr>
          <w:p>
            <w:r/>
            <w:r>
              <w:rPr>
                <w:rFonts w:ascii="Times New Roman" w:hAnsi="Times New Roman"/>
                <w:b w:val="0"/>
                <w:sz w:val="20"/>
              </w:rPr>
              <w:t>X.XXX</w:t>
            </w:r>
          </w:p>
        </w:tc>
        <w:tc>
          <w:tcPr>
            <w:tcW w:type="dxa" w:w="936"/>
          </w:tcPr>
          <w:p>
            <w:r/>
            <w:r>
              <w:rPr>
                <w:rFonts w:ascii="Times New Roman" w:hAnsi="Times New Roman"/>
                <w:b w:val="0"/>
                <w:sz w:val="20"/>
              </w:rPr>
              <w:t>X.XXX</w:t>
            </w:r>
          </w:p>
        </w:tc>
        <w:tc>
          <w:tcPr>
            <w:tcW w:type="dxa" w:w="1152"/>
          </w:tcPr>
          <w:p>
            <w:r/>
            <w:r>
              <w:rPr>
                <w:rFonts w:ascii="Times New Roman" w:hAnsi="Times New Roman"/>
                <w:b w:val="0"/>
                <w:sz w:val="20"/>
              </w:rPr>
              <w:t>–</w:t>
            </w:r>
          </w:p>
        </w:tc>
        <w:tc>
          <w:tcPr>
            <w:tcW w:type="dxa" w:w="1008"/>
          </w:tcPr>
          <w:p>
            <w:r/>
            <w:r>
              <w:rPr>
                <w:rFonts w:ascii="Times New Roman" w:hAnsi="Times New Roman"/>
                <w:b w:val="0"/>
                <w:sz w:val="20"/>
              </w:rPr>
              <w:t>–</w:t>
            </w:r>
          </w:p>
        </w:tc>
      </w:tr>
      <w:tr>
        <w:tc>
          <w:tcPr>
            <w:tcW w:type="dxa" w:w="2664"/>
          </w:tcPr>
          <w:p>
            <w:r/>
            <w:r>
              <w:rPr>
                <w:rFonts w:ascii="Times New Roman" w:hAnsi="Times New Roman"/>
                <w:b w:val="0"/>
                <w:sz w:val="20"/>
              </w:rPr>
              <w:t>M3 → Proposed (noise channel)</w:t>
            </w:r>
          </w:p>
        </w:tc>
        <w:tc>
          <w:tcPr>
            <w:tcW w:type="dxa" w:w="1872"/>
          </w:tcPr>
          <w:p>
            <w:r/>
            <w:r>
              <w:rPr>
                <w:rFonts w:ascii="Times New Roman" w:hAnsi="Times New Roman"/>
                <w:b w:val="0"/>
                <w:sz w:val="20"/>
              </w:rPr>
              <w:t>Symptom macro-F1</w:t>
            </w:r>
          </w:p>
        </w:tc>
        <w:tc>
          <w:tcPr>
            <w:tcW w:type="dxa" w:w="1368"/>
          </w:tcPr>
          <w:p>
            <w:r/>
            <w:r>
              <w:rPr>
                <w:rFonts w:ascii="Times New Roman" w:hAnsi="Times New Roman"/>
                <w:b w:val="0"/>
                <w:sz w:val="20"/>
              </w:rPr>
              <w:t>X.XXX</w:t>
            </w:r>
          </w:p>
        </w:tc>
        <w:tc>
          <w:tcPr>
            <w:tcW w:type="dxa" w:w="936"/>
          </w:tcPr>
          <w:p>
            <w:r/>
            <w:r>
              <w:rPr>
                <w:rFonts w:ascii="Times New Roman" w:hAnsi="Times New Roman"/>
                <w:b w:val="0"/>
                <w:sz w:val="20"/>
              </w:rPr>
              <w:t>X.XXX</w:t>
            </w:r>
          </w:p>
        </w:tc>
        <w:tc>
          <w:tcPr>
            <w:tcW w:type="dxa" w:w="1152"/>
          </w:tcPr>
          <w:p>
            <w:r/>
            <w:r>
              <w:rPr>
                <w:rFonts w:ascii="Times New Roman" w:hAnsi="Times New Roman"/>
                <w:b w:val="0"/>
                <w:sz w:val="20"/>
              </w:rPr>
              <w:t>–</w:t>
            </w:r>
          </w:p>
        </w:tc>
        <w:tc>
          <w:tcPr>
            <w:tcW w:type="dxa" w:w="1008"/>
          </w:tcPr>
          <w:p>
            <w:r/>
            <w:r>
              <w:rPr>
                <w:rFonts w:ascii="Times New Roman" w:hAnsi="Times New Roman"/>
                <w:b w:val="0"/>
                <w:sz w:val="20"/>
              </w:rPr>
              <w:t>–</w:t>
            </w:r>
          </w:p>
        </w:tc>
      </w:tr>
    </w:tbl>
    <w:p/>
    <w:p>
      <w:pPr>
        <w:jc w:val="both"/>
      </w:pPr>
      <w:r>
        <w:rPr>
          <w:rFonts w:ascii="Times New Roman" w:hAnsi="Times New Roman"/>
          <w:b/>
          <w:sz w:val="24"/>
        </w:rPr>
        <w:t>4.4 Interpretability of the Learned Representation</w:t>
      </w:r>
    </w:p>
    <w:p>
      <w:pPr>
        <w:jc w:val="both"/>
      </w:pPr>
      <w:r>
        <w:rPr>
          <w:rFonts w:ascii="Times New Roman" w:hAnsi="Times New Roman"/>
          <w:b w:val="0"/>
          <w:sz w:val="24"/>
        </w:rPr>
        <w:t>Because the framework predicts graded outcomes through non-negative item weights over named clinical symptoms, those weights are directly readable as item loadings and can be compared against the equal weighting that the PHQ-9 prescribes. A departure from uniform weighting constitutes a concrete and falsifiable clinical claim about which symptoms carry disproportionate information about graded severity in this population, and is therefore reported with the caveat that the weights are estimated from social-media text rather than from clinical interview. The learned loadings are shown in Figure 4. The symptom receiving the largest relative weight is X.XXX and the smallest is X.XXX; the dispersion of the loadings around uniform weighting is X.XXX. A dispersion close to zero would indicate that the head did not depart from its initialisation, in which case the interpretability claim is not supported by the evidence and should be withdrawn rather than reported, and the accompanying unconstrained-trait control in Table 6 then determines whether any observed benefit derived from the monotone structure or merely from the reduction in free parameters.</w:t>
      </w:r>
    </w:p>
    <w:p>
      <w:pPr>
        <w:jc w:val="center"/>
      </w:pPr>
      <w:r>
        <w:drawing>
          <wp:inline xmlns:a="http://schemas.openxmlformats.org/drawingml/2006/main" xmlns:pic="http://schemas.openxmlformats.org/drawingml/2006/picture">
            <wp:extent cx="5733288" cy="4646016"/>
            <wp:docPr id="4" name="Picture 4"/>
            <wp:cNvGraphicFramePr>
              <a:graphicFrameLocks noChangeAspect="1"/>
            </wp:cNvGraphicFramePr>
            <a:graphic>
              <a:graphicData uri="http://schemas.openxmlformats.org/drawingml/2006/picture">
                <pic:pic>
                  <pic:nvPicPr>
                    <pic:cNvPr id="0" name="figure4_item_loadings.png"/>
                    <pic:cNvPicPr/>
                  </pic:nvPicPr>
                  <pic:blipFill>
                    <a:blip r:embed="rId12"/>
                    <a:stretch>
                      <a:fillRect/>
                    </a:stretch>
                  </pic:blipFill>
                  <pic:spPr>
                    <a:xfrm>
                      <a:off x="0" y="0"/>
                      <a:ext cx="5733288" cy="4646016"/>
                    </a:xfrm>
                    <a:prstGeom prst="rect"/>
                  </pic:spPr>
                </pic:pic>
              </a:graphicData>
            </a:graphic>
          </wp:inline>
        </w:drawing>
      </w:r>
    </w:p>
    <w:p>
      <w:pPr>
        <w:jc w:val="center"/>
      </w:pPr>
      <w:r>
        <w:rPr>
          <w:rFonts w:ascii="Times New Roman" w:hAnsi="Times New Roman"/>
          <w:sz w:val="24"/>
        </w:rPr>
        <w:t>Figure 4. Placeholder. Learned item loadings of the monotone ordinal head, expressed relative to the equal item weighting prescribed by the PHQ-9, coloured by source instrument.</w:t>
      </w:r>
    </w:p>
    <w:p>
      <w:pPr>
        <w:jc w:val="both"/>
      </w:pPr>
      <w:r>
        <w:rPr>
          <w:rFonts w:ascii="Times New Roman" w:hAnsi="Times New Roman"/>
          <w:b/>
          <w:sz w:val="24"/>
        </w:rPr>
        <w:t>4.5 Training Dynamics and Overfitting Control</w:t>
      </w:r>
    </w:p>
    <w:p>
      <w:pPr>
        <w:jc w:val="both"/>
      </w:pPr>
      <w:r>
        <w:rPr>
          <w:rFonts w:ascii="Times New Roman" w:hAnsi="Times New Roman"/>
          <w:b w:val="0"/>
          <w:sz w:val="24"/>
        </w:rPr>
        <w:t>The ordinal partitions are small enough that memorisation is the primary failure mode rather than underfitting, and the training protocol is designed accordingly. Three controls act together: the epoch budget is bounded and early stopping is applied on validation loss, the checkpoint is selected at minimum validation loss rather than by an aggregate score that one task can dominate, and the monotone ordinal head reduces the effective capacity available to the scarce tasks by construction. The effect is quantified by the ratio between the validation loss at the selected checkpoint and the minimum validation loss attained during the run, together with the training quadratic weighted kappa reached on the suicide-risk partition, which approaches unity when a run has memorised that partition. The dynamics are shown in Figure 5. Across all runs, X.XXX of the configurations exhibit a training risk kappa above the memorisation threshold, and the mean ratio of selected to minimum validation loss is X.XXX.</w:t>
      </w:r>
    </w:p>
    <w:p>
      <w:pPr>
        <w:jc w:val="center"/>
      </w:pPr>
      <w:r>
        <w:drawing>
          <wp:inline xmlns:a="http://schemas.openxmlformats.org/drawingml/2006/main" xmlns:pic="http://schemas.openxmlformats.org/drawingml/2006/picture">
            <wp:extent cx="5733288" cy="2197409"/>
            <wp:docPr id="5" name="Picture 5"/>
            <wp:cNvGraphicFramePr>
              <a:graphicFrameLocks noChangeAspect="1"/>
            </wp:cNvGraphicFramePr>
            <a:graphic>
              <a:graphicData uri="http://schemas.openxmlformats.org/drawingml/2006/picture">
                <pic:pic>
                  <pic:nvPicPr>
                    <pic:cNvPr id="0" name="figure5_training_dynamics.png"/>
                    <pic:cNvPicPr/>
                  </pic:nvPicPr>
                  <pic:blipFill>
                    <a:blip r:embed="rId13"/>
                    <a:stretch>
                      <a:fillRect/>
                    </a:stretch>
                  </pic:blipFill>
                  <pic:spPr>
                    <a:xfrm>
                      <a:off x="0" y="0"/>
                      <a:ext cx="5733288" cy="2197409"/>
                    </a:xfrm>
                    <a:prstGeom prst="rect"/>
                  </pic:spPr>
                </pic:pic>
              </a:graphicData>
            </a:graphic>
          </wp:inline>
        </w:drawing>
      </w:r>
    </w:p>
    <w:p>
      <w:pPr>
        <w:jc w:val="center"/>
      </w:pPr>
      <w:r>
        <w:rPr>
          <w:rFonts w:ascii="Times New Roman" w:hAnsi="Times New Roman"/>
          <w:sz w:val="24"/>
        </w:rPr>
        <w:t>Figure 5. Placeholder. Training and validation loss, and the divergence between training and validation performance on the suicide-risk task, illustrating the effect of the overfitting controls.</w:t>
      </w:r>
    </w:p>
    <w:p>
      <w:pPr>
        <w:jc w:val="both"/>
      </w:pPr>
      <w:r>
        <w:rPr>
          <w:rFonts w:ascii="Times New Roman" w:hAnsi="Times New Roman"/>
          <w:b/>
          <w:sz w:val="24"/>
        </w:rPr>
        <w:t>4.6 Discussion and Limitations</w:t>
      </w:r>
    </w:p>
    <w:p>
      <w:pPr>
        <w:jc w:val="both"/>
      </w:pPr>
      <w:r>
        <w:rPr>
          <w:rFonts w:ascii="Times New Roman" w:hAnsi="Times New Roman"/>
          <w:b w:val="0"/>
          <w:sz w:val="24"/>
        </w:rPr>
        <w:t>Several limitations bound the interpretation of these results and are stated here rather than left to the reader to infer. First, eleven of the twenty-two symptoms, predominantly the GAD-7 anxiety items, have no gold annotation in any constituent corpus, so the symptom metrics reported throughout are computed over the eleven gold-supervised symptoms only. The direct effect of weak supervision on the symptoms it actually supervises is therefore not measurable with the present annotation, and can appear only indirectly through transfer; closing this gap requires an in-house annotation effort rather than further modelling. Second, and for the same reason, the per-symptom noise channel is identifiable for eleven symptoms and pooled within instrument for the remainder, which is an assumption that the present data cannot verify. Third, the comparison models are re-implementations of published architectures rather than the published systems, constructed from the descriptions available, and their relative ordering here should not be read as a ranking of the original works. Fourth, the symptom-disorder prior is authored from diagnostic criteria by the present authors and has not been reviewed by a clinician, and the disorder-disorder edges derive from subreddit co-membership, which is a weak proxy for diagnosed comorbidity. Fifth, the weak-supervision conditions observe approximately fifty thousand additional labelled instances that the baselines and comparison models do not, so a portion of any margin attributable to those conditions reflects additional supervision rather than architecture, and a matched-data comparison is required before the architectural claim is made. Finally, the suicide-risk partition is too small to resolve architectural differences, as quantified in Section 4.3. Taken together, these limitations indicate that the contributions of this work which are best supported by the present evidence are the symptom-mediated architecture, the leakage-controlled multi-corpus protocol, the measurement of the labelling model's per-symptom bias, and the significance-audited reporting, rather than any single improvement in aggregate accuracy.</w:t>
      </w:r>
    </w:p>
    <w:p>
      <w:pPr>
        <w:jc w:val="both"/>
      </w:pPr>
      <w:r>
        <w:rPr>
          <w:rFonts w:ascii="Times New Roman" w:hAnsi="Times New Roman"/>
          <w:b/>
          <w:sz w:val="24"/>
        </w:rPr>
        <w:t>5. Conclusion</w:t>
      </w:r>
    </w:p>
    <w:p>
      <w:pPr>
        <w:jc w:val="both"/>
      </w:pPr>
      <w:r>
        <w:rPr>
          <w:rFonts w:ascii="Times New Roman" w:hAnsi="Times New Roman"/>
          <w:b w:val="0"/>
          <w:sz w:val="24"/>
        </w:rPr>
        <w:t>This research introduced SymptoGraph-LLM, a symptom-grounded and comorbidity-aware deep learning framework for interpretable mental-health assessment from social media text. The framework addresses five shortcomings of existing approaches: it replaces direct disorder classification with an obligatory clinical concept bottleneck whose symptom queries are initialised from the clinical definitions themselves; it propagates evidence over a symptom-disorder graph combining a diagnostic prior with a learned, sparsity-penalised residual, so that comorbidity is modelled rather than diagnosed; it estimates graded severity and suicide risk through an instrument-grounded monotone ordinal head that reproduces the additive scoring rule of the PHQ-9 and reduces the data-poor risk task to four threshold parameters; it corrects large language model weak supervision through a per-symptom noise channel estimated against gold labels, rather than treating model-generated labels as certain; and it evaluates all of this under a leakage-controlled protocol that collapses posts appearing in several corpora to a single identifier, partitions Reddit authors disjointly, and reports paired bootstrap tests alongside per-task confidence intervals. Validated on 19,762 gold-labelled posts harmonised from seven public corpora together with 49,982 calibrated weak labels, and compared against three baselines, three architectures re-implemented from the 2024 to 2026 literature, five component-wise ablations and three isolating controls under one identical protocol, the framework attains X.XXX symptom macro-AUROC and X.XXX symptom macro-F1, with X.XXX of the component-wise differences distinguishable from seed and sampling variability. The study also establishes two measurement results of independent interest: that the labelling model's reliability varies from a true-positive rate of 0.252 to 0.944 across symptoms, which no single confidence temperature can correct, and that the available suicide-risk annotation supports a confidence interval wider than any architectural difference it could resolve. Future work will construct an in-house anxiety gold standard to make the weak-only symptoms measurable, submit the symptom-disorder prior for clinician review together with a sensitivity analysis over perturbed priors, extend the framework with a symptom-grounded rationale generator evaluated for faithfulness, and conduct the matched-data comparison required to attribute the remaining margin to architecture rather than to supervision.</w:t>
      </w:r>
    </w:p>
    <w:p>
      <w:pPr>
        <w:jc w:val="both"/>
      </w:pPr>
      <w:r>
        <w:rPr>
          <w:rFonts w:ascii="Times New Roman" w:hAnsi="Times New Roman"/>
          <w:b/>
          <w:sz w:val="24"/>
        </w:rPr>
        <w:t>References</w:t>
      </w:r>
    </w:p>
    <w:p>
      <w:pPr>
        <w:jc w:val="both"/>
      </w:pPr>
      <w:r>
        <w:rPr>
          <w:rFonts w:ascii="Times New Roman" w:hAnsi="Times New Roman"/>
          <w:b w:val="0"/>
          <w:sz w:val="24"/>
        </w:rPr>
        <w:t>[1] Xu, X., Yao, B., Dong, Y., Gabriel, S., Yu, H., Hendler, J., Ghassemi, M., Dey, A.K. and Wang, D. (2024) ‘Mental-LLM: Leveraging large language models for mental health prediction via online text data’, *Proceedings of the ACM on Interactive, Mobile, Wearable and Ubiquitous Technologies*, 8(1), pp. 1–32. Available at: https://doi.org/10.1145/3643540.</w:t>
      </w:r>
    </w:p>
    <w:p>
      <w:pPr>
        <w:jc w:val="both"/>
      </w:pPr>
      <w:r>
        <w:rPr>
          <w:rFonts w:ascii="Times New Roman" w:hAnsi="Times New Roman"/>
          <w:b w:val="0"/>
          <w:sz w:val="24"/>
        </w:rPr>
        <w:t>[2] Shah, S.M., Gillani, S.A., Baig, M.S.A., Saleem, M.A. and Siddiqui, M.H. (2025) ‘Advancing depression detection on social media platforms through fine-tuned large language models’, *Online Social Networks and Media*, 46, 100311. Available at: https://doi.org/10.1016/j.osnem.2025.100311.</w:t>
      </w:r>
    </w:p>
    <w:p>
      <w:pPr>
        <w:jc w:val="both"/>
      </w:pPr>
      <w:r>
        <w:rPr>
          <w:rFonts w:ascii="Times New Roman" w:hAnsi="Times New Roman"/>
          <w:b w:val="0"/>
          <w:sz w:val="24"/>
        </w:rPr>
        <w:t>[3] Liu, J., Ding, P. and Chen, J. (2025) ‘DepGLM: Depression degree recognition on social media based on large language models’, *Digital Health*, 11, 20552076251408281. Available at: https://doi.org/10.1177/20552076251408281.</w:t>
      </w:r>
    </w:p>
    <w:p>
      <w:pPr>
        <w:jc w:val="both"/>
      </w:pPr>
      <w:r>
        <w:rPr>
          <w:rFonts w:ascii="Times New Roman" w:hAnsi="Times New Roman"/>
          <w:b w:val="0"/>
          <w:sz w:val="24"/>
        </w:rPr>
        <w:t>[4] Abdullah, M. and Negied, N. (2024) ‘Detection and Prediction of Future Mental Disorder From Social Media Data Using Machine Learning, Ensemble Learning, and Large Language Models’, *IEEE Access*, 12, pp. 120553–120569. Available at: https://doi.org/10.1109/access.2024.3406469.</w:t>
      </w:r>
    </w:p>
    <w:p>
      <w:pPr>
        <w:jc w:val="both"/>
      </w:pPr>
      <w:r>
        <w:rPr>
          <w:rFonts w:ascii="Times New Roman" w:hAnsi="Times New Roman"/>
          <w:b w:val="0"/>
          <w:sz w:val="24"/>
        </w:rPr>
        <w:t>[5] Qorich, M. and El Ouazzani, R. (2024) ‘Advanced deep learning and large language models for suicide ideation detection on social media’, *Progress in Artificial Intelligence*, 13(2), pp. 135–147. Available at: https://doi.org/10.1007/s13748-024-00326-z.</w:t>
      </w:r>
    </w:p>
    <w:p>
      <w:pPr>
        <w:jc w:val="both"/>
      </w:pPr>
      <w:r>
        <w:rPr>
          <w:rFonts w:ascii="Times New Roman" w:hAnsi="Times New Roman"/>
          <w:b w:val="0"/>
          <w:sz w:val="24"/>
        </w:rPr>
        <w:t>[6] Bauer, B., Norel, R., Leow, A., Rached, Z.A., Wen, B. and Cecchi, G. (2024) ‘Using Large Language Models to Understand Suicidality in a Social Media–Based Taxonomy of Mental Health Disorders: Linguistic Analysis of Reddit Posts’, *JMIR Mental Health*, 11, e57234. Available at: https://doi.org/10.2196/57234.</w:t>
      </w:r>
    </w:p>
    <w:p>
      <w:pPr>
        <w:jc w:val="both"/>
      </w:pPr>
      <w:r>
        <w:rPr>
          <w:rFonts w:ascii="Times New Roman" w:hAnsi="Times New Roman"/>
          <w:b w:val="0"/>
          <w:sz w:val="24"/>
        </w:rPr>
        <w:t>[7] Lee, C., Mohebbi, M., O'Callaghan, E. and Winsberg, M. (2024) ‘Large Language Models Versus Expert Clinicians in Crisis Prediction Among Telemental Health Patients: Comparative Study’, *JMIR Mental Health*, 11, e58129. Available at: https://doi.org/10.2196/58129.</w:t>
      </w:r>
    </w:p>
    <w:p>
      <w:pPr>
        <w:jc w:val="both"/>
      </w:pPr>
      <w:r>
        <w:rPr>
          <w:rFonts w:ascii="Times New Roman" w:hAnsi="Times New Roman"/>
          <w:b w:val="0"/>
          <w:sz w:val="24"/>
        </w:rPr>
        <w:t>[8] McCoy, T.H. and Perlis, R.H. (2025) ‘Applying large language models to stratify suicide risk using narrative clinical notes’, *Journal of Mood &amp; Anxiety Disorders*, 10, 100109. Available at: https://doi.org/10.1016/j.xjmad.2025.100109.</w:t>
      </w:r>
    </w:p>
    <w:p>
      <w:pPr>
        <w:jc w:val="both"/>
      </w:pPr>
      <w:r>
        <w:rPr>
          <w:rFonts w:ascii="Times New Roman" w:hAnsi="Times New Roman"/>
          <w:b w:val="0"/>
          <w:sz w:val="24"/>
        </w:rPr>
        <w:t>[9] Xie, W., Song, X., Lu, Z., Fei, G., Zhou, Y., Ding, S., Zuo, F., Wu, B., Gu, T., Xu, L., De, X. and Zhu, B. (2026) ‘Retrieval‑augmented large language models for depression screening and suicide risk stratification’, *BMC Psychiatry*, 26(1), 386. Available at: https://doi.org/10.1186/s12888-026-07988-0.</w:t>
      </w:r>
    </w:p>
    <w:p>
      <w:pPr>
        <w:jc w:val="both"/>
      </w:pPr>
      <w:r>
        <w:rPr>
          <w:rFonts w:ascii="Times New Roman" w:hAnsi="Times New Roman"/>
          <w:b w:val="0"/>
          <w:sz w:val="24"/>
        </w:rPr>
        <w:t>[10] Bao, E., Pérez, A. and Parapar, J. (2024) ‘Explainable depression symptom detection in social media’, *Health Information Science and Systems*, 12(1), 47. Available at: https://doi.org/10.1007/s13755-024-00303-9.</w:t>
      </w:r>
    </w:p>
    <w:p>
      <w:pPr>
        <w:jc w:val="both"/>
      </w:pPr>
      <w:r>
        <w:rPr>
          <w:rFonts w:ascii="Times New Roman" w:hAnsi="Times New Roman"/>
          <w:b w:val="0"/>
          <w:sz w:val="24"/>
        </w:rPr>
        <w:t>[11] Suksam, J., Kaewbuadee, P. and Jareanpon, C. (2026) ‘Transformer-Based Ensemble Learning for Symptom-Level Classification and DSM-5-Oriented Depression Screening on Social Media’, *Information*, 17(6), 546. Available at: https://doi.org/10.3390/info17060546.</w:t>
      </w:r>
    </w:p>
    <w:p>
      <w:pPr>
        <w:jc w:val="both"/>
      </w:pPr>
      <w:r>
        <w:rPr>
          <w:rFonts w:ascii="Times New Roman" w:hAnsi="Times New Roman"/>
          <w:b w:val="0"/>
          <w:sz w:val="24"/>
        </w:rPr>
        <w:t>[12] Garg, M. (2024) ‘WellXplain: Wellness concept extraction and classification in Reddit posts for mental health analysis’, *Knowledge-Based Systems*, 284, 111228. Available at: https://doi.org/10.1016/j.knosys.2023.111228.</w:t>
      </w:r>
    </w:p>
    <w:p>
      <w:pPr>
        <w:jc w:val="both"/>
      </w:pPr>
      <w:r>
        <w:rPr>
          <w:rFonts w:ascii="Times New Roman" w:hAnsi="Times New Roman"/>
          <w:b w:val="0"/>
          <w:sz w:val="24"/>
        </w:rPr>
        <w:t>[13] Zhang, W., Xie, J., Zhang, Z. and Liu, X. (2024) ‘Depression Detection Using Digital Traces on Social Media: A Knowledge-aware Deep Learning Approach’, *Journal of Management Information Systems*, 41(2), pp. 546–580. Available at: https://doi.org/10.1080/07421222.2024.2340822.</w:t>
      </w:r>
    </w:p>
    <w:p>
      <w:pPr>
        <w:jc w:val="both"/>
      </w:pPr>
      <w:r>
        <w:rPr>
          <w:rFonts w:ascii="Times New Roman" w:hAnsi="Times New Roman"/>
          <w:b w:val="0"/>
          <w:sz w:val="24"/>
        </w:rPr>
        <w:t>[14] Qasim, A., Mehak, G., Hussain, N., Gelbukh, A. and Sidorov, G. (2025) ‘Detection of Depression Severity in Social Media Text Using Transformer-Based Models’, *Information*, 16(2), 114. Available at: https://doi.org/10.3390/info16020114.</w:t>
      </w:r>
    </w:p>
    <w:p>
      <w:pPr>
        <w:jc w:val="both"/>
      </w:pPr>
      <w:r>
        <w:rPr>
          <w:rFonts w:ascii="Times New Roman" w:hAnsi="Times New Roman"/>
          <w:b w:val="0"/>
          <w:sz w:val="24"/>
        </w:rPr>
        <w:t>[15] Kerasiotis, M., Ilias, L. and Askounis, D. (2024) ‘Depression detection in social media posts using transformer-based models and auxiliary features’, *Social Network Analysis and Mining*, 14(1), 196. Available at: https://doi.org/10.1007/s13278-024-01360-4.</w:t>
      </w:r>
    </w:p>
    <w:p>
      <w:pPr>
        <w:jc w:val="both"/>
      </w:pPr>
      <w:r>
        <w:rPr>
          <w:rFonts w:ascii="Times New Roman" w:hAnsi="Times New Roman"/>
          <w:b w:val="0"/>
          <w:sz w:val="24"/>
        </w:rPr>
        <w:t>[16] Chen, C., Li, F., Chen, H. and Lin, Y. (2025) ‘Heterogeneous subgraph network with prompt learning for interpretable depression detection on social media’, *Knowledge-Based Systems*, 315, 113215. Available at: https://doi.org/10.1016/j.knosys.2025.113215.</w:t>
      </w:r>
    </w:p>
    <w:p>
      <w:pPr>
        <w:jc w:val="both"/>
      </w:pPr>
      <w:r>
        <w:rPr>
          <w:rFonts w:ascii="Times New Roman" w:hAnsi="Times New Roman"/>
          <w:b w:val="0"/>
          <w:sz w:val="24"/>
        </w:rPr>
        <w:t>[17] Jain, M., Jain, S., Jain, A. and Garg, B. (2024) ‘CDME-GAT: Context-Aware Depression Detection Using Multiembedding and Graph Attention Networks in Social Media Text’, *IEEE Transactions on Computational Social Systems*, 11(6), pp. 7212–7222. Available at: https://doi.org/10.1109/tcss.2024.3402689.</w:t>
      </w:r>
    </w:p>
    <w:p>
      <w:pPr>
        <w:jc w:val="both"/>
      </w:pPr>
      <w:r>
        <w:rPr>
          <w:rFonts w:ascii="Times New Roman" w:hAnsi="Times New Roman"/>
          <w:b w:val="0"/>
          <w:sz w:val="24"/>
        </w:rPr>
        <w:t>[18] Rehman, A.U., Iqbal, A., Sayyed, A., Aslam, Z., Mohmand, M.I. and Husnain, G. (2026) ‘Explainable Text-Based Depression and Suicide Risk Prediction from Social Media Using Deep Learning and Graph Neural Networks’, *Healthcare*, 14(11), 1440. Available at: https://doi.org/10.3390/healthcare14111440.</w:t>
      </w:r>
    </w:p>
    <w:p>
      <w:pPr>
        <w:jc w:val="both"/>
      </w:pPr>
      <w:r>
        <w:rPr>
          <w:rFonts w:ascii="Times New Roman" w:hAnsi="Times New Roman"/>
          <w:b w:val="0"/>
          <w:sz w:val="24"/>
        </w:rPr>
        <w:t>[19] Tahir, A., Mustafa, G., Afzal, M.T. and Rafiq, H. (2026) ‘An ontology-guided knowledge graph and retrieval-augmented LLM framework for interpretable mental health assessment’, *Social Network Analysis and Mining*. Available at: https://doi.org/10.1007/s13278-026-01625-0.</w:t>
      </w:r>
    </w:p>
    <w:p>
      <w:pPr>
        <w:jc w:val="both"/>
      </w:pPr>
      <w:r>
        <w:rPr>
          <w:rFonts w:ascii="Times New Roman" w:hAnsi="Times New Roman"/>
          <w:b w:val="0"/>
          <w:sz w:val="24"/>
        </w:rPr>
        <w:t>[20] Gao, S., Yu, K., Yang, Y., Yu, S., Shi, C., Wang, X., Tang, N. and Zhu, H. (2025) ‘Large language model powered knowledge graph construction for mental health exploration’, *Nature Communications*, 16(1), 7526. Available at: https://doi.org/10.1038/s41467-025-62781-z.</w:t>
      </w:r>
    </w:p>
    <w:p>
      <w:pPr>
        <w:jc w:val="both"/>
      </w:pPr>
      <w:r>
        <w:rPr>
          <w:rFonts w:ascii="Times New Roman" w:hAnsi="Times New Roman"/>
          <w:b w:val="0"/>
          <w:sz w:val="24"/>
        </w:rPr>
        <w:t>[21] Hsieh, C.Y., Ye, Q.Y., Liu, F.C., Wang, X., Lee, C.H. and Lin, C.S. (2025) ‘Multi-label mental health classification in social media posts with multi-perspective prompt ensemble and auxiliary self-supervision’, *Scientific Reports*, 16(1), 1153. Available at: https://doi.org/10.1038/s41598-025-30873-x.</w:t>
      </w:r>
    </w:p>
    <w:p>
      <w:pPr>
        <w:jc w:val="both"/>
      </w:pPr>
      <w:r>
        <w:rPr>
          <w:rFonts w:ascii="Times New Roman" w:hAnsi="Times New Roman"/>
          <w:b w:val="0"/>
          <w:sz w:val="24"/>
        </w:rPr>
        <w:t>[22] Khowaja, S.A., Nkenyereye, L., Khuwaja, P., Al Hamadi, H. and Dev, K. (2025) ‘Depression Detection From Social Media Posts Using Emotion Aware Encoders and Fuzzy Based Contrastive Networks’, *IEEE Transactions on Fuzzy Systems*, 33(1), pp. 43–53. Available at: https://doi.org/10.1109/tfuzz.2024.3461776.</w:t>
      </w:r>
    </w:p>
    <w:p>
      <w:pPr>
        <w:jc w:val="both"/>
      </w:pPr>
      <w:r>
        <w:rPr>
          <w:rFonts w:ascii="Times New Roman" w:hAnsi="Times New Roman"/>
          <w:b w:val="0"/>
          <w:sz w:val="24"/>
        </w:rPr>
        <w:t>[23] Hsu, E. and Roberts, K. (2025) ‘Leveraging large language models for knowledge-free weak supervision in clinical natural language processing’, *Scientific Reports*, 15(1), 8241. Available at: https://doi.org/10.1038/s41598-024-68168-2.</w:t>
      </w:r>
    </w:p>
    <w:p>
      <w:pPr>
        <w:jc w:val="both"/>
      </w:pPr>
      <w:r>
        <w:rPr>
          <w:rFonts w:ascii="Times New Roman" w:hAnsi="Times New Roman"/>
          <w:b w:val="0"/>
          <w:sz w:val="24"/>
        </w:rPr>
        <w:t>[24] Khalil, S.S., Tawfik, N.S. and Spruit, M. (2024) ‘Federated learning for privacy-preserving depression detection with multilingual language models in social media posts’, *Patterns*, 5(7), 100990. Available at: https://doi.org/10.1016/j.patter.2024.100990.</w:t>
      </w:r>
    </w:p>
    <w:p>
      <w:pPr>
        <w:jc w:val="both"/>
      </w:pPr>
      <w:r>
        <w:rPr>
          <w:rFonts w:ascii="Times New Roman" w:hAnsi="Times New Roman"/>
          <w:b w:val="0"/>
          <w:sz w:val="24"/>
        </w:rPr>
        <w:t>[25] Guo, Z., Lai, A., Thygesen, J.H., Farrington, J., Keen, T. and Li, K. (2024) ‘Large Language Models for Mental Health Applications: Systematic Review’, *JMIR Mental Health*, 11, e57400. Available at: https://doi.org/10.2196/57400.</w:t>
      </w:r>
    </w:p>
    <w:p>
      <w:pPr>
        <w:jc w:val="both"/>
      </w:pPr>
      <w:r>
        <w:rPr>
          <w:rFonts w:ascii="Times New Roman" w:hAnsi="Times New Roman"/>
          <w:b w:val="0"/>
          <w:sz w:val="24"/>
        </w:rPr>
        <w:t>[26] Omar, M., Soffer, S., Charney, A.W., Landi, I., Nadkarni, G.N. and Klang, E. (2024) ‘Applications of large language models in psychiatry: a systematic review’, *Frontiers in Psychiatry*, 15, 1422807. Available at: https://doi.org/10.3389/fpsyt.2024.1422807.</w:t>
      </w:r>
    </w:p>
    <w:p>
      <w:pPr>
        <w:jc w:val="both"/>
      </w:pPr>
      <w:r>
        <w:rPr>
          <w:rFonts w:ascii="Times New Roman" w:hAnsi="Times New Roman"/>
          <w:b w:val="0"/>
          <w:sz w:val="24"/>
        </w:rPr>
        <w:t>[27] Volkmer, S., Meyer-Lindenberg, A. and Schwarz, E. (2024) ‘Large language models in psychiatry: Opportunities and challenges’, *Psychiatry Research*, 339, 116026. Available at: https://doi.org/10.1016/j.psychres.2024.116026.</w:t>
      </w:r>
    </w:p>
    <w:p>
      <w:pPr>
        <w:jc w:val="both"/>
      </w:pPr>
      <w:r>
        <w:rPr>
          <w:rFonts w:ascii="Times New Roman" w:hAnsi="Times New Roman"/>
          <w:b w:val="0"/>
          <w:sz w:val="24"/>
        </w:rPr>
        <w:t>[28] Levkovich, I. and Omar, M. (2024) ‘Evaluating of BERT-based and Large Language Mod for Suicide Detection, Prevention, and Risk Assessment: A Systematic Review’, *Journal of Medical Systems*, 48(1), 113. Available at: https://doi.org/10.1007/s10916-024-02134-3.</w:t>
      </w:r>
    </w:p>
    <w:p>
      <w:pPr>
        <w:jc w:val="both"/>
      </w:pPr>
      <w:r>
        <w:rPr>
          <w:rFonts w:ascii="Times New Roman" w:hAnsi="Times New Roman"/>
          <w:b w:val="0"/>
          <w:sz w:val="24"/>
        </w:rPr>
        <w:t>[29] Jin, H., Chen, S., Dilixiati, D., Jiang, Y., Zhu, K.Q. and Wu, M. (2026) ‘PsyEval: a comprehensive large language model evaluation benchmark for mental health’, *npj Mental Health Research*. Available at: https://doi.org/10.1038/s44184-026-00227-0.</w:t>
      </w:r>
    </w:p>
    <w:p>
      <w:pPr>
        <w:jc w:val="both"/>
      </w:pPr>
      <w:r>
        <w:rPr>
          <w:rFonts w:ascii="Times New Roman" w:hAnsi="Times New Roman"/>
          <w:b w:val="0"/>
          <w:sz w:val="24"/>
        </w:rPr>
        <w:t>[30] Bucher, A., Egger, S., Vashkite, I., Wu, W. and Schwabe, G. (2025) ‘“It’s Not Only Attention We Need”: Systematic Review of Large Language Models in Mental Health Care’, *JMIR Mental Health*, 12, e78410. Available at: https://doi.org/10.2196/78410.</w:t>
      </w: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