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0E4D2" w14:textId="6D14CDD1" w:rsidR="009E37ED" w:rsidRDefault="002E5191" w:rsidP="002E5191">
      <w:pPr>
        <w:jc w:val="center"/>
        <w:rPr>
          <w:rFonts w:ascii="Times New Roman" w:hAnsi="Times New Roman" w:cs="Times New Roman"/>
          <w:b/>
          <w:bCs/>
          <w:color w:val="000000" w:themeColor="text1"/>
          <w:sz w:val="24"/>
          <w:szCs w:val="24"/>
        </w:rPr>
      </w:pPr>
      <w:r w:rsidRPr="002E5191">
        <w:rPr>
          <w:rFonts w:ascii="Times New Roman" w:hAnsi="Times New Roman" w:cs="Times New Roman"/>
          <w:b/>
          <w:bCs/>
          <w:color w:val="000000" w:themeColor="text1"/>
          <w:sz w:val="24"/>
          <w:szCs w:val="24"/>
        </w:rPr>
        <w:t>PERSIST: A Process-Informed Spatiotemporal Deep Learning Framework for Seasonal Ecological Resilience Assessment in the Yangtze River Economic Belt Under County-Scale Remote Sensing Observations</w:t>
      </w:r>
    </w:p>
    <w:p w14:paraId="4982E086" w14:textId="77777777" w:rsidR="002E5191" w:rsidRPr="002E5191" w:rsidRDefault="002E5191" w:rsidP="002E5191">
      <w:pPr>
        <w:rPr>
          <w:rFonts w:ascii="Times New Roman" w:hAnsi="Times New Roman" w:cs="Times New Roman"/>
          <w:b/>
          <w:bCs/>
          <w:color w:val="000000" w:themeColor="text1"/>
          <w:sz w:val="24"/>
          <w:szCs w:val="24"/>
        </w:rPr>
      </w:pPr>
      <w:r w:rsidRPr="002E5191">
        <w:rPr>
          <w:rFonts w:ascii="Times New Roman" w:hAnsi="Times New Roman" w:cs="Times New Roman"/>
          <w:b/>
          <w:bCs/>
          <w:color w:val="000000" w:themeColor="text1"/>
          <w:sz w:val="24"/>
          <w:szCs w:val="24"/>
        </w:rPr>
        <w:t>Abstract</w:t>
      </w:r>
    </w:p>
    <w:p w14:paraId="52EFEA78" w14:textId="00AAD6BC" w:rsidR="002E5191" w:rsidRPr="002E5191" w:rsidRDefault="002E5191" w:rsidP="002E5191">
      <w:pPr>
        <w:jc w:val="both"/>
        <w:rPr>
          <w:rFonts w:ascii="Times New Roman" w:hAnsi="Times New Roman" w:cs="Times New Roman"/>
          <w:color w:val="000000" w:themeColor="text1"/>
          <w:sz w:val="24"/>
          <w:szCs w:val="24"/>
        </w:rPr>
      </w:pPr>
      <w:r w:rsidRPr="002E5191">
        <w:rPr>
          <w:rFonts w:ascii="Times New Roman" w:hAnsi="Times New Roman" w:cs="Times New Roman"/>
          <w:color w:val="000000" w:themeColor="text1"/>
          <w:sz w:val="24"/>
          <w:szCs w:val="24"/>
        </w:rPr>
        <w:t>The resilience assessment in the context of large river basins represents a critical step towards development of efficient regional conservation and land-management policies. Although there is a huge potential for the characterization of ecosystem condition using satellite observations, current techniques of resilience assessment suffer from a number of severe shortcomings. Notably, they utilize static composite indices, which do not distinguish between recovery and resistance, apply aggregating weights subjectively, prove spatial autocorrelation, but do not model it, neglect lithology and topography-driven variability in local response and quantify predictive accuracy on the targets with unestablished predictability. Therefore, in our research we introduce a novel deep learning approach, called Process-Informed Spatiotemporal Framework for Seasonal Ecological Resilience Assessment (PERSIST), designed to address the task of interpretable resilience quantification in the Yangtze River Economic Belt. First, the introduced PERSIST suggests process-informed state representation, which combines deseasonalised history of land-surface-temperature and kernel-NDVI with climate forcing, terrain and karst context and hierarchical monthly and annual encoder based on year-over-year delta encoding. Then the disturbance-conditioned response decoder estimates bounded persistence, seasonal carry, sensitivity to forcing and offset coefficients, which exactly include trivial reference predictors and yield recovery rate and resistance in the form of model parameters, not post-hoc attributes. Afterward, dual graph message passing along the county contiguity and directed hydrological flow in combination with lithology-dependent mixture of experts facilitates information exchange along physically motivated channels. Finally, ecologically motivated multi-term objective, embargoed temporal protocol and multi-seed ensemble guarantee that reported skill level neither leaks from the training set nor constitutes run-to-run variability artifact. The framework is validated using 1,068 county-level units for the period of 2000-2020 (269,136 county-months) compared against four trivial references and three deep baselines (DRSEI, STGCN, Temporal Fusion Transformer) with the same seasonal target and retraining, as well as seven component-wise ablations. The experimental validation reports 0.3633 RMSE, 0.8515 pooled R², 0.7092 within-county R², 0.8897 non-overlapping stride-3 R² and 0.9718 R² in native temperature units, outperforming the seasonal-naive reference by 14.9% RMSE and the strongest deep baseline by 6.1% and raising within-county temporal R² by 0.1436 (+25.4% relative) while using 4.24× fewer parameters than the Temporal Fusion Transformer. Additionally, the component-wise ablation study allows us to measure the contribution of each module of the framework against seed-noise band and determine the response decoder and hierarchical annual encoder as the only two components with statistically distinguishable effect, whereas residual spatial autocorrelation proves to be higher than that of spatiotemporal graph convolution.</w:t>
      </w:r>
    </w:p>
    <w:p w14:paraId="5902DA21" w14:textId="77777777" w:rsidR="002E5191" w:rsidRPr="002E5191" w:rsidRDefault="002E5191" w:rsidP="002E5191">
      <w:pPr>
        <w:jc w:val="both"/>
        <w:rPr>
          <w:rFonts w:ascii="Times New Roman" w:hAnsi="Times New Roman" w:cs="Times New Roman"/>
          <w:b/>
          <w:bCs/>
          <w:color w:val="000000" w:themeColor="text1"/>
          <w:sz w:val="24"/>
          <w:szCs w:val="24"/>
        </w:rPr>
      </w:pPr>
      <w:r w:rsidRPr="002E5191">
        <w:rPr>
          <w:rFonts w:ascii="Times New Roman" w:hAnsi="Times New Roman" w:cs="Times New Roman"/>
          <w:b/>
          <w:bCs/>
          <w:color w:val="000000" w:themeColor="text1"/>
          <w:sz w:val="24"/>
          <w:szCs w:val="24"/>
        </w:rPr>
        <w:t>Keywords</w:t>
      </w:r>
    </w:p>
    <w:p w14:paraId="38C74D00" w14:textId="3C658D9C" w:rsidR="002E5191" w:rsidRDefault="002E5191" w:rsidP="002E5191">
      <w:pPr>
        <w:jc w:val="both"/>
        <w:rPr>
          <w:rFonts w:ascii="Times New Roman" w:hAnsi="Times New Roman" w:cs="Times New Roman"/>
          <w:color w:val="000000" w:themeColor="text1"/>
          <w:sz w:val="24"/>
          <w:szCs w:val="24"/>
        </w:rPr>
      </w:pPr>
      <w:r w:rsidRPr="002E5191">
        <w:rPr>
          <w:rFonts w:ascii="Times New Roman" w:hAnsi="Times New Roman" w:cs="Times New Roman"/>
          <w:color w:val="000000" w:themeColor="text1"/>
          <w:sz w:val="24"/>
          <w:szCs w:val="24"/>
        </w:rPr>
        <w:t>Ecological Resilience, Yangtze River Economic Belt, Remote Sensing, Spatiotemporal Deep Learning, Graph Neural Networks, Seasonal Anomaly Forecasting, Interpretable Machine Learning, Recovery Rate and Resistance, Land Surface Temperature, Kernel NDVI.</w:t>
      </w:r>
    </w:p>
    <w:p w14:paraId="4AB2D299" w14:textId="77777777" w:rsidR="000F1827" w:rsidRDefault="000F1827" w:rsidP="004A6608">
      <w:pPr>
        <w:jc w:val="both"/>
        <w:rPr>
          <w:rFonts w:ascii="Times New Roman" w:hAnsi="Times New Roman" w:cs="Times New Roman"/>
          <w:color w:val="000000" w:themeColor="text1"/>
          <w:sz w:val="24"/>
          <w:szCs w:val="24"/>
        </w:rPr>
      </w:pPr>
    </w:p>
    <w:p w14:paraId="532B492F" w14:textId="4251799A" w:rsidR="004A6608" w:rsidRPr="004A6608" w:rsidRDefault="004A6608" w:rsidP="004A6608">
      <w:pPr>
        <w:jc w:val="both"/>
        <w:rPr>
          <w:rFonts w:ascii="Times New Roman" w:hAnsi="Times New Roman" w:cs="Times New Roman"/>
          <w:b/>
          <w:bCs/>
          <w:color w:val="000000" w:themeColor="text1"/>
          <w:sz w:val="24"/>
          <w:szCs w:val="24"/>
        </w:rPr>
      </w:pPr>
      <w:r w:rsidRPr="004A6608">
        <w:rPr>
          <w:rFonts w:ascii="Times New Roman" w:hAnsi="Times New Roman" w:cs="Times New Roman"/>
          <w:b/>
          <w:bCs/>
          <w:color w:val="000000" w:themeColor="text1"/>
          <w:sz w:val="24"/>
          <w:szCs w:val="24"/>
        </w:rPr>
        <w:lastRenderedPageBreak/>
        <w:t>1. Introduction</w:t>
      </w:r>
    </w:p>
    <w:p w14:paraId="71B09C0D" w14:textId="77777777" w:rsidR="000F1827" w:rsidRPr="000F1827" w:rsidRDefault="000F1827" w:rsidP="000F1827">
      <w:pPr>
        <w:jc w:val="both"/>
        <w:rPr>
          <w:rFonts w:ascii="Times New Roman" w:hAnsi="Times New Roman" w:cs="Times New Roman"/>
          <w:color w:val="000000" w:themeColor="text1"/>
          <w:sz w:val="24"/>
          <w:szCs w:val="24"/>
        </w:rPr>
      </w:pPr>
      <w:r w:rsidRPr="000F1827">
        <w:rPr>
          <w:rFonts w:ascii="Times New Roman" w:hAnsi="Times New Roman" w:cs="Times New Roman"/>
          <w:color w:val="000000" w:themeColor="text1"/>
          <w:sz w:val="24"/>
          <w:szCs w:val="24"/>
        </w:rPr>
        <w:t xml:space="preserve">The Yangtze River Economic Belt (YREB) becomes increasingly topical as a region where rapid urbanisation, intensive agriculture and national conservation programmes interact in more than two million square </w:t>
      </w:r>
      <w:proofErr w:type="spellStart"/>
      <w:r w:rsidRPr="000F1827">
        <w:rPr>
          <w:rFonts w:ascii="Times New Roman" w:hAnsi="Times New Roman" w:cs="Times New Roman"/>
          <w:color w:val="000000" w:themeColor="text1"/>
          <w:sz w:val="24"/>
          <w:szCs w:val="24"/>
        </w:rPr>
        <w:t>kilometers</w:t>
      </w:r>
      <w:proofErr w:type="spellEnd"/>
      <w:r w:rsidRPr="000F1827">
        <w:rPr>
          <w:rFonts w:ascii="Times New Roman" w:hAnsi="Times New Roman" w:cs="Times New Roman"/>
          <w:color w:val="000000" w:themeColor="text1"/>
          <w:sz w:val="24"/>
          <w:szCs w:val="24"/>
        </w:rPr>
        <w:t xml:space="preserve"> of diverse terrain. Nevertheless, there is a rich variety of coupled climate-vegetation-thermal-anthropogenic dynamics emerging from this diversity and affecting vegetation vitality, surface thermal regimes, disturbance resilience and recovery capacity. The importance of such dynamics increases even more when the goal moves from ecological description of the situation to quantification of the local resilience to disturbance and the rate of subsequent recovery. Moreover, the increasing availability of long archive of remote sensing data, gridded climate reanalysis and deep learning provides opportunity for data-driven ecological assessment at meaningful administrative levels. Recently conducted review suggests that graph-based and multimodal learning become increasingly popular in earth-observation analysis, even though the problem of benchmark standardisation, lack of reproducibility and insufficient interpretability of processes still exists.</w:t>
      </w:r>
    </w:p>
    <w:p w14:paraId="1F5F96E9" w14:textId="77777777" w:rsidR="000F1827" w:rsidRPr="000F1827" w:rsidRDefault="000F1827" w:rsidP="000F1827">
      <w:pPr>
        <w:jc w:val="both"/>
        <w:rPr>
          <w:rFonts w:ascii="Times New Roman" w:hAnsi="Times New Roman" w:cs="Times New Roman"/>
          <w:color w:val="000000" w:themeColor="text1"/>
          <w:sz w:val="24"/>
          <w:szCs w:val="24"/>
        </w:rPr>
      </w:pPr>
      <w:r w:rsidRPr="000F1827">
        <w:rPr>
          <w:rFonts w:ascii="Times New Roman" w:hAnsi="Times New Roman" w:cs="Times New Roman"/>
          <w:color w:val="000000" w:themeColor="text1"/>
          <w:sz w:val="24"/>
          <w:szCs w:val="24"/>
        </w:rPr>
        <w:t>Remote sensing and machine learning have recently been crucial to assessment of regional ecological condition. Kaur and Sharma [1] give a comprehensive review of multimodal graph neural networks for earth observation and sustainable resource management including architecture types, fusion methods and application domains. Among the most promising directions, the authors mention graph learning over irregular spatial units, physics-guided hybrid approaches and multimodal fusion, while challenges include benchmark standardisation, lack of reproducibility and absence of trivial references. However, being a review, the paper doesn't suggest the framework for estimation of ecological resilience incorporating both spatial organisation and process constraints in the formulation. Li et al. [2] estimate ecological resilience across YREB based on multi-scale framework and observe distinct spatiotemporal gradients between upstream, midstream and downstream sections as well as high degree of spatial autocorrelation at county level. The authors show that the resilience in this basin is spatially organised rather than randomly distributed. Nevertheless, the analysis remains descriptive, composite indicators are used, and while the spatial autocorrelation is detected statistically, it's never included into the estimator. Thus, neither of these studies closes the loop between spatial diagnostic and process-constrained model, leaving the integration of graph-based representation with resilience assessment open.</w:t>
      </w:r>
    </w:p>
    <w:p w14:paraId="312D299C" w14:textId="77777777" w:rsidR="000F1827" w:rsidRPr="000F1827" w:rsidRDefault="000F1827" w:rsidP="000F1827">
      <w:pPr>
        <w:jc w:val="both"/>
        <w:rPr>
          <w:rFonts w:ascii="Times New Roman" w:hAnsi="Times New Roman" w:cs="Times New Roman"/>
          <w:color w:val="000000" w:themeColor="text1"/>
          <w:sz w:val="24"/>
          <w:szCs w:val="24"/>
        </w:rPr>
      </w:pPr>
      <w:r w:rsidRPr="000F1827">
        <w:rPr>
          <w:rFonts w:ascii="Times New Roman" w:hAnsi="Times New Roman" w:cs="Times New Roman"/>
          <w:color w:val="000000" w:themeColor="text1"/>
          <w:sz w:val="24"/>
          <w:szCs w:val="24"/>
        </w:rPr>
        <w:t xml:space="preserve">Deep learning approach for ecological quality evaluation has been proposed by Gong et al. [3], who replace conventional principal-component weights of remote sensing ecological index with learned encoder that is trained for reconstruction and prediction objectives. The authors show that data-driven representation learning eliminates subjectivity of fixed indicator weights and improves consistency of ecological quality estimates. Nevertheless, the formulation remains purely temporal and spatial units are treated independently, so neighbourhood relations and hydrological connectivity are missing in the model, and no resilience is estimated based on learned representation. Further research is needed to find architectures that can exploit spatial autocorrelation but retain the interpretable ecological meaning. Interpretable machine learning for resilience has been studied by Li et al. [4], who apply gradient-boosted trees and Shapley attribution for analysis of urban resilience across YREB and successfully reveal nonlinear relationships and interactions between socioeconomic and environmental drivers. This study proves that the driver-response relationships in the basin are nonlinear and attribution is necessary for policy relevance. Nevertheless, the interpretation is performed post </w:t>
      </w:r>
      <w:r w:rsidRPr="000F1827">
        <w:rPr>
          <w:rFonts w:ascii="Times New Roman" w:hAnsi="Times New Roman" w:cs="Times New Roman"/>
          <w:color w:val="000000" w:themeColor="text1"/>
          <w:sz w:val="24"/>
          <w:szCs w:val="24"/>
        </w:rPr>
        <w:lastRenderedPageBreak/>
        <w:t>hoc based on a composite index, and the recovered importance scores describe the correlations with the constructed score rather than the dynamical quantities constituting the resilience.</w:t>
      </w:r>
    </w:p>
    <w:p w14:paraId="2CA20BA8" w14:textId="77777777" w:rsidR="000F1827" w:rsidRPr="000F1827" w:rsidRDefault="000F1827" w:rsidP="000F1827">
      <w:pPr>
        <w:jc w:val="both"/>
        <w:rPr>
          <w:rFonts w:ascii="Times New Roman" w:hAnsi="Times New Roman" w:cs="Times New Roman"/>
          <w:color w:val="000000" w:themeColor="text1"/>
          <w:sz w:val="24"/>
          <w:szCs w:val="24"/>
        </w:rPr>
      </w:pPr>
      <w:r w:rsidRPr="000F1827">
        <w:rPr>
          <w:rFonts w:ascii="Times New Roman" w:hAnsi="Times New Roman" w:cs="Times New Roman"/>
          <w:color w:val="000000" w:themeColor="text1"/>
          <w:sz w:val="24"/>
          <w:szCs w:val="24"/>
        </w:rPr>
        <w:t>Recently Aldossary [5] has proposed GTNet – a graph–transformer neural network for ecological health monitoring, combining graph convolution over spatial units and transformer-based temporal attention, showing robustness under input degradation. Experiments show that hybrid graph-attention design is superior to purely convolutional and recurrent models for monitoring spatially distributed environment. However, the work is focused on urban sensing network rather than large heterogeneous river basin, the objective is condition monitoring rather than resistance and recovery parameter estimation, and lithology and topography controls on local response are not included. Therefore, further research is needed to develop a spatiotemporal framework combining graph-based architecture with explicit bounds and process constraints on the estimated resilience.</w:t>
      </w:r>
    </w:p>
    <w:p w14:paraId="2EA53382" w14:textId="7D3C64B3" w:rsidR="004A6608" w:rsidRPr="004A6608" w:rsidRDefault="000F1827" w:rsidP="000F1827">
      <w:pPr>
        <w:jc w:val="both"/>
        <w:rPr>
          <w:rFonts w:ascii="Times New Roman" w:hAnsi="Times New Roman" w:cs="Times New Roman"/>
          <w:color w:val="000000" w:themeColor="text1"/>
          <w:sz w:val="24"/>
          <w:szCs w:val="24"/>
        </w:rPr>
      </w:pPr>
      <w:r w:rsidRPr="000F1827">
        <w:rPr>
          <w:rFonts w:ascii="Times New Roman" w:hAnsi="Times New Roman" w:cs="Times New Roman"/>
          <w:color w:val="000000" w:themeColor="text1"/>
          <w:sz w:val="24"/>
          <w:szCs w:val="24"/>
        </w:rPr>
        <w:t>Despite of significant recent advances in remote-sensing based ecological assessment, there are several open research questions left. Nowadays, research in this area is fragmented between index construction, descriptive spatial statistics, driver attribution and land-use simulation, while no work unites all these components into a single framework estimating resilience as a learned parameter. While existing works mainly focus on construction of composite score or optimisation of single prediction objective, resilient system should separate resistance, recovery and seasonal carry-over and explicitly bound them rather than merge into a single index. Despite of being repeatedly proved, the spatial dependence is never modelled explicitly and the lithological difference between karst and non-karst landscape, dominating local recovery, is usually excluded. Finally, the accuracy is rarely compared to trivial references or measured ceiling, so it's unclear what part of the claimed skills is actually real and what is just reflecting persistent differences between units. To address this gap, we propose PERSIST – a process-informed spatiotemporal framework for seasonal ecological resilience assessment. The suggested PERSIST framework transforms common ecological resilience assessment into the constrained spatiotemporal estimation problem, where the model learns how persistently a county maintains its current state, how much it reacts on climate forcing, how much of its seasonal state returns, and how much of the remaining variability is really predictable. The framework is validated on 1,068 county-level units for 2000-2020 period against four trivial references, three deep baselines retrained for the same seasonal objective, seven component-wise ablations and predictability audit</w:t>
      </w:r>
      <w:r w:rsidR="004A6608" w:rsidRPr="004A6608">
        <w:rPr>
          <w:rFonts w:ascii="Times New Roman" w:hAnsi="Times New Roman" w:cs="Times New Roman"/>
          <w:color w:val="000000" w:themeColor="text1"/>
          <w:sz w:val="24"/>
          <w:szCs w:val="24"/>
        </w:rPr>
        <w:t>.</w:t>
      </w:r>
    </w:p>
    <w:p w14:paraId="656C4DFC" w14:textId="200E1962" w:rsidR="004A6608" w:rsidRPr="004A6608" w:rsidRDefault="004A6608" w:rsidP="004A6608">
      <w:pPr>
        <w:jc w:val="both"/>
        <w:rPr>
          <w:rFonts w:ascii="Times New Roman" w:hAnsi="Times New Roman" w:cs="Times New Roman"/>
          <w:color w:val="000000" w:themeColor="text1"/>
          <w:sz w:val="24"/>
          <w:szCs w:val="24"/>
        </w:rPr>
      </w:pPr>
      <w:r w:rsidRPr="004A6608">
        <w:rPr>
          <w:rFonts w:ascii="Times New Roman" w:hAnsi="Times New Roman" w:cs="Times New Roman"/>
          <w:color w:val="000000" w:themeColor="text1"/>
          <w:sz w:val="24"/>
          <w:szCs w:val="24"/>
        </w:rPr>
        <w:t>The major contributions of this research are summarised as follows:</w:t>
      </w:r>
    </w:p>
    <w:p w14:paraId="0C20C972" w14:textId="7C048273" w:rsidR="004A6608" w:rsidRPr="000F1827" w:rsidRDefault="004A6608" w:rsidP="004A6608">
      <w:pPr>
        <w:pStyle w:val="ListParagraph"/>
        <w:numPr>
          <w:ilvl w:val="0"/>
          <w:numId w:val="1"/>
        </w:numPr>
        <w:jc w:val="both"/>
        <w:rPr>
          <w:rFonts w:ascii="Times New Roman" w:hAnsi="Times New Roman" w:cs="Times New Roman"/>
          <w:color w:val="000000" w:themeColor="text1"/>
          <w:sz w:val="24"/>
          <w:szCs w:val="24"/>
        </w:rPr>
      </w:pPr>
      <w:r w:rsidRPr="000F1827">
        <w:rPr>
          <w:rFonts w:ascii="Times New Roman" w:hAnsi="Times New Roman" w:cs="Times New Roman"/>
          <w:color w:val="000000" w:themeColor="text1"/>
          <w:sz w:val="24"/>
          <w:szCs w:val="24"/>
        </w:rPr>
        <w:t>A Process-Informed Resilience-Aware State Representation is introduced to incorporate de</w:t>
      </w:r>
      <w:r w:rsidR="00886A9B">
        <w:rPr>
          <w:rFonts w:ascii="Times New Roman" w:hAnsi="Times New Roman" w:cs="Times New Roman"/>
          <w:color w:val="000000" w:themeColor="text1"/>
          <w:sz w:val="24"/>
          <w:szCs w:val="24"/>
        </w:rPr>
        <w:t>-</w:t>
      </w:r>
      <w:r w:rsidRPr="000F1827">
        <w:rPr>
          <w:rFonts w:ascii="Times New Roman" w:hAnsi="Times New Roman" w:cs="Times New Roman"/>
          <w:color w:val="000000" w:themeColor="text1"/>
          <w:sz w:val="24"/>
          <w:szCs w:val="24"/>
        </w:rPr>
        <w:t>seasonalised thermal and vegetation anomaly histories, climate forcing, terrain and karst context, and year-over-year annual dynamics into a hierarchical encoder, enabling the model to reason about disturbance response rather than relying solely on contemporaneous indicator values.</w:t>
      </w:r>
    </w:p>
    <w:p w14:paraId="151ACFBD" w14:textId="54518252" w:rsidR="004A6608" w:rsidRPr="000F1827" w:rsidRDefault="004A6608" w:rsidP="004A6608">
      <w:pPr>
        <w:pStyle w:val="ListParagraph"/>
        <w:numPr>
          <w:ilvl w:val="0"/>
          <w:numId w:val="1"/>
        </w:numPr>
        <w:jc w:val="both"/>
        <w:rPr>
          <w:rFonts w:ascii="Times New Roman" w:hAnsi="Times New Roman" w:cs="Times New Roman"/>
          <w:color w:val="000000" w:themeColor="text1"/>
          <w:sz w:val="24"/>
          <w:szCs w:val="24"/>
        </w:rPr>
      </w:pPr>
      <w:r w:rsidRPr="000F1827">
        <w:rPr>
          <w:rFonts w:ascii="Times New Roman" w:hAnsi="Times New Roman" w:cs="Times New Roman"/>
          <w:color w:val="000000" w:themeColor="text1"/>
          <w:sz w:val="24"/>
          <w:szCs w:val="24"/>
        </w:rPr>
        <w:t>A Disturbance-Conditioned Response Decoder is developed to learn bounded persistence, seasonal-carry, forcing-sensitivity and offset coefficients that exactly nest the trivial reference predictors, yielding county-level recovery rate and resistance directly as model parameters instead of post-hoc attributions.</w:t>
      </w:r>
    </w:p>
    <w:p w14:paraId="614EDC42" w14:textId="1EA8DF4A" w:rsidR="004A6608" w:rsidRPr="000F1827" w:rsidRDefault="004A6608" w:rsidP="004A6608">
      <w:pPr>
        <w:pStyle w:val="ListParagraph"/>
        <w:numPr>
          <w:ilvl w:val="0"/>
          <w:numId w:val="1"/>
        </w:numPr>
        <w:jc w:val="both"/>
        <w:rPr>
          <w:rFonts w:ascii="Times New Roman" w:hAnsi="Times New Roman" w:cs="Times New Roman"/>
          <w:color w:val="000000" w:themeColor="text1"/>
          <w:sz w:val="24"/>
          <w:szCs w:val="24"/>
        </w:rPr>
      </w:pPr>
      <w:r w:rsidRPr="000F1827">
        <w:rPr>
          <w:rFonts w:ascii="Times New Roman" w:hAnsi="Times New Roman" w:cs="Times New Roman"/>
          <w:color w:val="000000" w:themeColor="text1"/>
          <w:sz w:val="24"/>
          <w:szCs w:val="24"/>
        </w:rPr>
        <w:t xml:space="preserve">A Dual-Graph Message-Passing scheme with Lithology-Adaptive Mixture of Experts is proposed to propagate information along county contiguity and directed hydrological </w:t>
      </w:r>
      <w:r w:rsidRPr="000F1827">
        <w:rPr>
          <w:rFonts w:ascii="Times New Roman" w:hAnsi="Times New Roman" w:cs="Times New Roman"/>
          <w:color w:val="000000" w:themeColor="text1"/>
          <w:sz w:val="24"/>
          <w:szCs w:val="24"/>
        </w:rPr>
        <w:lastRenderedPageBreak/>
        <w:t>flow while conditioning the response function on terrain and karst context, so that spatial dependence and geological heterogeneity are modelled rather than merely diagnosed.</w:t>
      </w:r>
    </w:p>
    <w:p w14:paraId="6454E612" w14:textId="57F08078" w:rsidR="00A300ED" w:rsidRDefault="004A6608" w:rsidP="000F1827">
      <w:pPr>
        <w:pStyle w:val="ListParagraph"/>
        <w:numPr>
          <w:ilvl w:val="0"/>
          <w:numId w:val="1"/>
        </w:numPr>
        <w:jc w:val="both"/>
        <w:rPr>
          <w:rFonts w:ascii="Times New Roman" w:hAnsi="Times New Roman" w:cs="Times New Roman"/>
          <w:color w:val="000000" w:themeColor="text1"/>
          <w:sz w:val="24"/>
          <w:szCs w:val="24"/>
        </w:rPr>
      </w:pPr>
      <w:r w:rsidRPr="000F1827">
        <w:rPr>
          <w:rFonts w:ascii="Times New Roman" w:hAnsi="Times New Roman" w:cs="Times New Roman"/>
          <w:color w:val="000000" w:themeColor="text1"/>
          <w:sz w:val="24"/>
          <w:szCs w:val="24"/>
        </w:rPr>
        <w:t>An Ecologically-Constrained Objective and Predictability-Audited Evaluation Protocol is introduced to combine reconstruction, temporal smoothness and spatial residual penalties with embargoed temporal splits, multi-seed ensembling and an explicit separation of pooled from within-unit skill, thereby ensuring that reported performance is neither leaked nor an artefact of run-to-run variability.</w:t>
      </w:r>
    </w:p>
    <w:p w14:paraId="51929FC0" w14:textId="77777777" w:rsidR="00534B20" w:rsidRPr="00534B20" w:rsidRDefault="00534B20" w:rsidP="00534B20">
      <w:pPr>
        <w:jc w:val="both"/>
        <w:rPr>
          <w:rFonts w:ascii="Times New Roman" w:hAnsi="Times New Roman" w:cs="Times New Roman"/>
          <w:b/>
          <w:bCs/>
          <w:color w:val="000000" w:themeColor="text1"/>
          <w:sz w:val="24"/>
          <w:szCs w:val="24"/>
        </w:rPr>
      </w:pPr>
      <w:r w:rsidRPr="00534B20">
        <w:rPr>
          <w:rFonts w:ascii="Times New Roman" w:hAnsi="Times New Roman" w:cs="Times New Roman"/>
          <w:b/>
          <w:bCs/>
          <w:color w:val="000000" w:themeColor="text1"/>
          <w:sz w:val="24"/>
          <w:szCs w:val="24"/>
        </w:rPr>
        <w:t>2. Literature Survey</w:t>
      </w:r>
    </w:p>
    <w:p w14:paraId="42DB91AB" w14:textId="77777777" w:rsidR="00C0625A" w:rsidRPr="00C0625A" w:rsidRDefault="00C0625A" w:rsidP="00C0625A">
      <w:pPr>
        <w:jc w:val="both"/>
        <w:rPr>
          <w:rFonts w:ascii="Times New Roman" w:hAnsi="Times New Roman" w:cs="Times New Roman"/>
          <w:color w:val="000000" w:themeColor="text1"/>
          <w:sz w:val="24"/>
          <w:szCs w:val="24"/>
        </w:rPr>
      </w:pPr>
      <w:r w:rsidRPr="00C0625A">
        <w:rPr>
          <w:rFonts w:ascii="Times New Roman" w:hAnsi="Times New Roman" w:cs="Times New Roman"/>
          <w:color w:val="000000" w:themeColor="text1"/>
          <w:sz w:val="24"/>
          <w:szCs w:val="24"/>
        </w:rPr>
        <w:t>Current advances in the area of ecological resilience assessment can be summarized in the following major trends: composite indicator construction, spatial statistical diagnosis, driver attribution, and remote-sensing-based ecological quality monitoring. Among those research streams, there have been several studies on the ecological resilience of the Yangtze River Economic Belt and other urban agglomerations in China, some focused on interpretable machine learning for driver analysis, remote-sensing-based ecological indices, and deep learning for spatiotemporal environmental prediction. However, those research directions had not communicated much with each other and there were no attempts to develop a unifying framework that would allow to estimate resilience-related quantities as learned parameters while explicitly accounting for spatial dependence. Yao et al. [6] investigated the effect of climate change on the ecological resilience of the Yangtze River Economic Belt, coupling meteorological trends with a composite resilience index in the region. In the course of the study, it was revealed that climatic effects are the first-order control on regional resilience and that different reaches respond differently. However, the concept of resilience is formulated as an aggregate of contemporaneous indices and, therefore, the resistance to perturbation and recovery rate are confounded. There is a gap in developing resilient formulations that would split these two properties as separately learnable quantities. Tang et al. [7] studied the spatiotemporal dynamics of water ecological resilience in the Yangtze River Economic Belt and, notably, the non-stationarity of the influences on resilience rather than assuming fixed relations. The research demonstrates that the influence of drivers varies significantly across time and space, invalidating the assumption of globally constant coefficients in the model. Nevertheless, the non-stationarity is accounted for by using locally estimated regression on an index rather than by modelling the varying response coefficients in the model directly. There is a gap in the formulation that allows learning spatially and temporally varying response coefficients.</w:t>
      </w:r>
    </w:p>
    <w:p w14:paraId="7C702F46" w14:textId="77777777" w:rsidR="00C0625A" w:rsidRPr="00C0625A" w:rsidRDefault="00C0625A" w:rsidP="00C0625A">
      <w:pPr>
        <w:jc w:val="both"/>
        <w:rPr>
          <w:rFonts w:ascii="Times New Roman" w:hAnsi="Times New Roman" w:cs="Times New Roman"/>
          <w:color w:val="000000" w:themeColor="text1"/>
          <w:sz w:val="24"/>
          <w:szCs w:val="24"/>
        </w:rPr>
      </w:pPr>
      <w:r w:rsidRPr="00C0625A">
        <w:rPr>
          <w:rFonts w:ascii="Times New Roman" w:hAnsi="Times New Roman" w:cs="Times New Roman"/>
          <w:color w:val="000000" w:themeColor="text1"/>
          <w:sz w:val="24"/>
          <w:szCs w:val="24"/>
        </w:rPr>
        <w:t xml:space="preserve">Fu et al. [8] studied driving factors and performed multi-scenario simulation of ecological resilience in the middle reaches of the Yangtze River metropolitan area, combining driving factor analysis with forward projection. The study confirms that resilience dynamics depends strongly on the chosen development path and that the spatial dependence among neighbouring regions exists. However, the identified spatial dependence is reported as a diagnostic property of the dataset and is not incorporated in the estimator, so that the neighbouring regions are still modelled independently. There is a gap in accounting for contiguity explicitly in the model rather than diagnosing it afterwards. Chen et al. [9] analysed the non-linear influence of population shrinkage on urban ecological resilience in the Yangtze River Economic Belt, using threshold effect analysis on a city-level panel dataset. It is demonstrated that demographic pressure affects resilience non-linearly and that this relationship depends on the regime. </w:t>
      </w:r>
      <w:r w:rsidRPr="00C0625A">
        <w:rPr>
          <w:rFonts w:ascii="Times New Roman" w:hAnsi="Times New Roman" w:cs="Times New Roman"/>
          <w:color w:val="000000" w:themeColor="text1"/>
          <w:sz w:val="24"/>
          <w:szCs w:val="24"/>
        </w:rPr>
        <w:lastRenderedPageBreak/>
        <w:t>Nevertheless, the analysis is conducted on an annual prefecture-level dataset, which is not detailed enough to capture the seasonal disturbance-recovery cycles that form the basis of the resilient dynamics. There is a gap in county-level, sub-annual resilience estimation.</w:t>
      </w:r>
    </w:p>
    <w:p w14:paraId="76D28EAE" w14:textId="77777777" w:rsidR="00C0625A" w:rsidRPr="00C0625A" w:rsidRDefault="00C0625A" w:rsidP="00C0625A">
      <w:pPr>
        <w:jc w:val="both"/>
        <w:rPr>
          <w:rFonts w:ascii="Times New Roman" w:hAnsi="Times New Roman" w:cs="Times New Roman"/>
          <w:color w:val="000000" w:themeColor="text1"/>
          <w:sz w:val="24"/>
          <w:szCs w:val="24"/>
        </w:rPr>
      </w:pPr>
      <w:r w:rsidRPr="00C0625A">
        <w:rPr>
          <w:rFonts w:ascii="Times New Roman" w:hAnsi="Times New Roman" w:cs="Times New Roman"/>
          <w:color w:val="000000" w:themeColor="text1"/>
          <w:sz w:val="24"/>
          <w:szCs w:val="24"/>
        </w:rPr>
        <w:t>Ding et al. [10] offered an integrated geographical detector and Bayesian spatiotemporal model for the estimation of the county-level ecological resilience in optimised urban agglomerations, explicitly accounting for spatiotemporal heterogeneity and synergy among driving factors. This is one of the most statistically rigorous approaches in the existing literature and confirms the existence of strong interaction effects among drivers. However, the Bayesian formulation is a descriptive model without predictive validation on held-out time periods, so that the ability to extrapolate the results to the future is unknown. There is a gap in models of resilience estimated under strict temporal hold-out. Zhong et al. [11] characterised regional differences, dynamic evolution and driving factors of ecological resilience across urban agglomerations in China, offering a valuable baseline for comparison among regions. The analysis reveals persistent inter-regional differences which are stable over time. Nevertheless, the persistence of the level differences among regions is taken as a substantive result rather than a statistical artefact, leading to inflated goodness-of-fit measures when pooling them. There is a gap in explicitly separating the between-unit from within-unit predictive skills in the model.</w:t>
      </w:r>
    </w:p>
    <w:p w14:paraId="06B8ABF7" w14:textId="77777777" w:rsidR="00C0625A" w:rsidRPr="00C0625A" w:rsidRDefault="00C0625A" w:rsidP="00C0625A">
      <w:pPr>
        <w:jc w:val="both"/>
        <w:rPr>
          <w:rFonts w:ascii="Times New Roman" w:hAnsi="Times New Roman" w:cs="Times New Roman"/>
          <w:color w:val="000000" w:themeColor="text1"/>
          <w:sz w:val="24"/>
          <w:szCs w:val="24"/>
        </w:rPr>
      </w:pPr>
      <w:r w:rsidRPr="00C0625A">
        <w:rPr>
          <w:rFonts w:ascii="Times New Roman" w:hAnsi="Times New Roman" w:cs="Times New Roman"/>
          <w:color w:val="000000" w:themeColor="text1"/>
          <w:sz w:val="24"/>
          <w:szCs w:val="24"/>
        </w:rPr>
        <w:t xml:space="preserve">Wan et al. [12] proposed a two-dimensional decomposition of urban ecological resilience in China, separating the spatial gap into parts that are attributable to various structural sources. The decomposition methodology is quite useful since it allows to determine how much of the observed variation is cross-sectional rather than temporal. However, the decomposition is performed on an index rather than on a residual from a predictive model, so that no information about the proportion of variance explained by the model is obtained. There is a gap in reporting decomposition of variance alongside with the predictive power. Tong et al. [13] revealed spatiotemporal dynamics and optimisation pathways of ecological resilience using the </w:t>
      </w:r>
      <w:proofErr w:type="spellStart"/>
      <w:r w:rsidRPr="00C0625A">
        <w:rPr>
          <w:rFonts w:ascii="Times New Roman" w:hAnsi="Times New Roman" w:cs="Times New Roman"/>
          <w:color w:val="000000" w:themeColor="text1"/>
          <w:sz w:val="24"/>
          <w:szCs w:val="24"/>
        </w:rPr>
        <w:t>panarchy</w:t>
      </w:r>
      <w:proofErr w:type="spellEnd"/>
      <w:r w:rsidRPr="00C0625A">
        <w:rPr>
          <w:rFonts w:ascii="Times New Roman" w:hAnsi="Times New Roman" w:cs="Times New Roman"/>
          <w:color w:val="000000" w:themeColor="text1"/>
          <w:sz w:val="24"/>
          <w:szCs w:val="24"/>
        </w:rPr>
        <w:t xml:space="preserve"> concept and remote sensing for the Wuhan metropolitan area. The </w:t>
      </w:r>
      <w:proofErr w:type="spellStart"/>
      <w:r w:rsidRPr="00C0625A">
        <w:rPr>
          <w:rFonts w:ascii="Times New Roman" w:hAnsi="Times New Roman" w:cs="Times New Roman"/>
          <w:color w:val="000000" w:themeColor="text1"/>
          <w:sz w:val="24"/>
          <w:szCs w:val="24"/>
        </w:rPr>
        <w:t>panarchy</w:t>
      </w:r>
      <w:proofErr w:type="spellEnd"/>
      <w:r w:rsidRPr="00C0625A">
        <w:rPr>
          <w:rFonts w:ascii="Times New Roman" w:hAnsi="Times New Roman" w:cs="Times New Roman"/>
          <w:color w:val="000000" w:themeColor="text1"/>
          <w:sz w:val="24"/>
          <w:szCs w:val="24"/>
        </w:rPr>
        <w:t xml:space="preserve"> concept is appealing due to explicit representation of adaptive cycles of growth, collapse and reorganisation. Nevertheless, the phases of adaptive cycles are determined by thresholding an index rather than being estimated as continuous coefficients. There is a gap in estimating continuous adaptive cycle behaviour.</w:t>
      </w:r>
    </w:p>
    <w:p w14:paraId="75A9D4DB" w14:textId="77777777" w:rsidR="00C0625A" w:rsidRPr="00C0625A" w:rsidRDefault="00C0625A" w:rsidP="00C0625A">
      <w:pPr>
        <w:jc w:val="both"/>
        <w:rPr>
          <w:rFonts w:ascii="Times New Roman" w:hAnsi="Times New Roman" w:cs="Times New Roman"/>
          <w:color w:val="000000" w:themeColor="text1"/>
          <w:sz w:val="24"/>
          <w:szCs w:val="24"/>
        </w:rPr>
      </w:pPr>
      <w:r w:rsidRPr="00C0625A">
        <w:rPr>
          <w:rFonts w:ascii="Times New Roman" w:hAnsi="Times New Roman" w:cs="Times New Roman"/>
          <w:color w:val="000000" w:themeColor="text1"/>
          <w:sz w:val="24"/>
          <w:szCs w:val="24"/>
        </w:rPr>
        <w:t xml:space="preserve">Li et al. [14] conducted a scenario-based modelling and driving factor analysis of the ecological resilience of the </w:t>
      </w:r>
      <w:proofErr w:type="spellStart"/>
      <w:r w:rsidRPr="00C0625A">
        <w:rPr>
          <w:rFonts w:ascii="Times New Roman" w:hAnsi="Times New Roman" w:cs="Times New Roman"/>
          <w:color w:val="000000" w:themeColor="text1"/>
          <w:sz w:val="24"/>
          <w:szCs w:val="24"/>
        </w:rPr>
        <w:t>Qinling</w:t>
      </w:r>
      <w:proofErr w:type="spellEnd"/>
      <w:r w:rsidRPr="00C0625A">
        <w:rPr>
          <w:rFonts w:ascii="Times New Roman" w:hAnsi="Times New Roman" w:cs="Times New Roman"/>
          <w:color w:val="000000" w:themeColor="text1"/>
          <w:sz w:val="24"/>
          <w:szCs w:val="24"/>
        </w:rPr>
        <w:t>-Daba Mountains, the region whose topographical features resemble the Yangtze upper reaches. It is found that mountains produce different resilience dynamics as compared with lowlands. Nevertheless, the influence of the terrain is introduced via covariates in regression rather than as context modulating the response function. There is a gap in the conditional response function. Zhao et al. [15] performed a multi-scenario simulation of the ecological risk and resilience in the Pearl River Delta region, integrating risk and resilience evaluation in one study. The work confirms that risk and resilience should be studied together rather than separately. Nevertheless, the simulation is done on the basis of land-use transitions rather than estimated ecological response dynamics, so that disturbance response is prescribed rather than learned from the data.</w:t>
      </w:r>
    </w:p>
    <w:p w14:paraId="0F57C342" w14:textId="77777777" w:rsidR="00C0625A" w:rsidRPr="00C0625A" w:rsidRDefault="00C0625A" w:rsidP="00C0625A">
      <w:pPr>
        <w:jc w:val="both"/>
        <w:rPr>
          <w:rFonts w:ascii="Times New Roman" w:hAnsi="Times New Roman" w:cs="Times New Roman"/>
          <w:color w:val="000000" w:themeColor="text1"/>
          <w:sz w:val="24"/>
          <w:szCs w:val="24"/>
        </w:rPr>
      </w:pPr>
      <w:r w:rsidRPr="00C0625A">
        <w:rPr>
          <w:rFonts w:ascii="Times New Roman" w:hAnsi="Times New Roman" w:cs="Times New Roman"/>
          <w:color w:val="000000" w:themeColor="text1"/>
          <w:sz w:val="24"/>
          <w:szCs w:val="24"/>
        </w:rPr>
        <w:t xml:space="preserve">Li et al. [16] assessed and simulated urban ecosystem resilience by coupling the resistance-adaptability-recovery indicators with the Markov-FLUS land-use model in the Jinan metropolitan area. The study is noteworthy because it explicitly introduces the concepts of </w:t>
      </w:r>
      <w:r w:rsidRPr="00C0625A">
        <w:rPr>
          <w:rFonts w:ascii="Times New Roman" w:hAnsi="Times New Roman" w:cs="Times New Roman"/>
          <w:color w:val="000000" w:themeColor="text1"/>
          <w:sz w:val="24"/>
          <w:szCs w:val="24"/>
        </w:rPr>
        <w:lastRenderedPageBreak/>
        <w:t>resistance, adaptability and recovery as separate dimensions, corresponding to the decomposition theory of resilience. Nevertheless, the dimensions are estimated from separate indicator sets and are combined by using fixed weights, determined by the analyst rather than learned from data. There is a gap in estimating resistance, adaptability and recovery from a single fitted response model. Zhang and Wu [17] explored the spatiotemporal evolution and influencing factors of urban ecological resilience in the Yellow River Basin, providing a large-basin study comparable to the one for the Yangtze. Upstream-downstream gradient is confirmed, just as in the case with the Yangtze. Nevertheless, the study remains a cross-sectional study with no prediction or validation on future time periods.</w:t>
      </w:r>
    </w:p>
    <w:p w14:paraId="34EA6B75" w14:textId="77777777" w:rsidR="00C0625A" w:rsidRPr="00C0625A" w:rsidRDefault="00C0625A" w:rsidP="00C0625A">
      <w:pPr>
        <w:jc w:val="both"/>
        <w:rPr>
          <w:rFonts w:ascii="Times New Roman" w:hAnsi="Times New Roman" w:cs="Times New Roman"/>
          <w:color w:val="000000" w:themeColor="text1"/>
          <w:sz w:val="24"/>
          <w:szCs w:val="24"/>
        </w:rPr>
      </w:pPr>
      <w:r w:rsidRPr="00C0625A">
        <w:rPr>
          <w:rFonts w:ascii="Times New Roman" w:hAnsi="Times New Roman" w:cs="Times New Roman"/>
          <w:color w:val="000000" w:themeColor="text1"/>
          <w:sz w:val="24"/>
          <w:szCs w:val="24"/>
        </w:rPr>
        <w:t>He et al. [18] conducted a GIS-based analysis of spatial and functional heterogeneity of regional resilience in the Chengdu-Chongqing economic mega-region, which is included in the upper Yangtze. The study demonstrates that functional heterogeneity is as important as spatial heterogeneity in partitioning a large region. Nevertheless, the approach used is a geographical information system overlay analysis without a learned model, so that extrapolation outside of the observed period is impossible. There is a gap in learning-based regional resilience estimation with extrapolation to future time periods. Yue et al. [19] applied the interpretable machine learning for socio-ecological resilience pathways in a resource-exhausted city, using the attribution methods to uncover the underlying mechanisms of the linkage between socio-economic conditions and ecological outcomes. The study demonstrates that the interpretable machine learning can provide actionable insights. Nevertheless, the interpretation is derived from a black-box fitted model on a composite index, so that the interpretation describes associations with a constructed score rather than physical quantities. There is a gap in machine learning frameworks whose interpretable quantities are structural rather than post-hoc explanations.</w:t>
      </w:r>
    </w:p>
    <w:p w14:paraId="20292EFD" w14:textId="77777777" w:rsidR="00C0625A" w:rsidRPr="00C0625A" w:rsidRDefault="00C0625A" w:rsidP="00C0625A">
      <w:pPr>
        <w:jc w:val="both"/>
        <w:rPr>
          <w:rFonts w:ascii="Times New Roman" w:hAnsi="Times New Roman" w:cs="Times New Roman"/>
          <w:color w:val="000000" w:themeColor="text1"/>
          <w:sz w:val="24"/>
          <w:szCs w:val="24"/>
        </w:rPr>
      </w:pPr>
      <w:r w:rsidRPr="00C0625A">
        <w:rPr>
          <w:rFonts w:ascii="Times New Roman" w:hAnsi="Times New Roman" w:cs="Times New Roman"/>
          <w:color w:val="000000" w:themeColor="text1"/>
          <w:sz w:val="24"/>
          <w:szCs w:val="24"/>
        </w:rPr>
        <w:t>Qu et al. [20] applied the interpretable machine learning to study remote sensing ecological index dynamics in the Yangtze River Delta, systematically attributing the index changes to the candidates for the role of the influencing factor. The study demonstrates that nonlinear attribution allows to reveal interactions among the factors invisible to linear models. Nevertheless, because the target of the analysis is still the ecological index itself, the analysis inherits all of the limitations of this index, including its fixed weight components and inability to distinguish between disturbance and recovery. There is a gap in replacing the ecological index with a physically meaningful state anomaly. Cheng et al. [21] used explainable machine learning to decipher the ecosystem health and dynamics in the Henan section of the Yellow River Basin, revealing substantial nonlinearity in the relationships between driving factors and health. The work supports the idea that the linear assumptions are inappropriate for basin-scale ecological modelling. Nevertheless, the models used are tree ensembles operating on annual cross-sections, so that temporal dependency between consecutive observations is not represented.</w:t>
      </w:r>
    </w:p>
    <w:p w14:paraId="66FC5E53" w14:textId="77777777" w:rsidR="00C0625A" w:rsidRPr="00C0625A" w:rsidRDefault="00C0625A" w:rsidP="00C0625A">
      <w:pPr>
        <w:jc w:val="both"/>
        <w:rPr>
          <w:rFonts w:ascii="Times New Roman" w:hAnsi="Times New Roman" w:cs="Times New Roman"/>
          <w:color w:val="000000" w:themeColor="text1"/>
          <w:sz w:val="24"/>
          <w:szCs w:val="24"/>
        </w:rPr>
      </w:pPr>
      <w:r w:rsidRPr="00C0625A">
        <w:rPr>
          <w:rFonts w:ascii="Times New Roman" w:hAnsi="Times New Roman" w:cs="Times New Roman"/>
          <w:color w:val="000000" w:themeColor="text1"/>
          <w:sz w:val="24"/>
          <w:szCs w:val="24"/>
        </w:rPr>
        <w:t xml:space="preserve">Fu et al. [22] investigated the nonlinear effects of the built environment on ecological resilience in the high-density city of Wuhan, quantifying threshold and saturation effects in the built-environment variables. The study demonstrates that the built environment controls act nonlinearly and locally. Nevertheless, the analysis is conducted only in one city and no connectivity structure linking the units of analysis is used, so that the </w:t>
      </w:r>
      <w:proofErr w:type="spellStart"/>
      <w:r w:rsidRPr="00C0625A">
        <w:rPr>
          <w:rFonts w:ascii="Times New Roman" w:hAnsi="Times New Roman" w:cs="Times New Roman"/>
          <w:color w:val="000000" w:themeColor="text1"/>
          <w:sz w:val="24"/>
          <w:szCs w:val="24"/>
        </w:rPr>
        <w:t>spillovers</w:t>
      </w:r>
      <w:proofErr w:type="spellEnd"/>
      <w:r w:rsidRPr="00C0625A">
        <w:rPr>
          <w:rFonts w:ascii="Times New Roman" w:hAnsi="Times New Roman" w:cs="Times New Roman"/>
          <w:color w:val="000000" w:themeColor="text1"/>
          <w:sz w:val="24"/>
          <w:szCs w:val="24"/>
        </w:rPr>
        <w:t xml:space="preserve"> between the neighbouring units are not considered. There is a gap in </w:t>
      </w:r>
      <w:proofErr w:type="spellStart"/>
      <w:r w:rsidRPr="00C0625A">
        <w:rPr>
          <w:rFonts w:ascii="Times New Roman" w:hAnsi="Times New Roman" w:cs="Times New Roman"/>
          <w:color w:val="000000" w:themeColor="text1"/>
          <w:sz w:val="24"/>
          <w:szCs w:val="24"/>
        </w:rPr>
        <w:t>spillover</w:t>
      </w:r>
      <w:proofErr w:type="spellEnd"/>
      <w:r w:rsidRPr="00C0625A">
        <w:rPr>
          <w:rFonts w:ascii="Times New Roman" w:hAnsi="Times New Roman" w:cs="Times New Roman"/>
          <w:color w:val="000000" w:themeColor="text1"/>
          <w:sz w:val="24"/>
          <w:szCs w:val="24"/>
        </w:rPr>
        <w:t xml:space="preserve"> analysis between administrative units at basin scale. Xie et al. [23] proposed an evaluation framework based on </w:t>
      </w:r>
      <w:r w:rsidRPr="00C0625A">
        <w:rPr>
          <w:rFonts w:ascii="Times New Roman" w:hAnsi="Times New Roman" w:cs="Times New Roman"/>
          <w:color w:val="000000" w:themeColor="text1"/>
          <w:sz w:val="24"/>
          <w:szCs w:val="24"/>
        </w:rPr>
        <w:lastRenderedPageBreak/>
        <w:t>satellite data and the pressure-state-response theory for evaluating the ecological environmental quality, providing a good conceptual structure for the index construction. The approach improves transparency over data-driven formulation of the index. Nevertheless, the pressure-state-response mapping is done a priori and, thus, the resulting evaluation is static, with no mechanisms of forecasting future ecological state or quantifying recovery speed.</w:t>
      </w:r>
    </w:p>
    <w:p w14:paraId="7ABB7BC0" w14:textId="77777777" w:rsidR="00C0625A" w:rsidRPr="00C0625A" w:rsidRDefault="00C0625A" w:rsidP="00C0625A">
      <w:pPr>
        <w:jc w:val="both"/>
        <w:rPr>
          <w:rFonts w:ascii="Times New Roman" w:hAnsi="Times New Roman" w:cs="Times New Roman"/>
          <w:color w:val="000000" w:themeColor="text1"/>
          <w:sz w:val="24"/>
          <w:szCs w:val="24"/>
        </w:rPr>
      </w:pPr>
      <w:r w:rsidRPr="00C0625A">
        <w:rPr>
          <w:rFonts w:ascii="Times New Roman" w:hAnsi="Times New Roman" w:cs="Times New Roman"/>
          <w:color w:val="000000" w:themeColor="text1"/>
          <w:sz w:val="24"/>
          <w:szCs w:val="24"/>
        </w:rPr>
        <w:t>Yang et al. [24] developed a karst remote sensing ecological index for the monitoring of the ecological quality in Southwest China, explicitly adapting the index construction to karst terrain. This work is directly relevant because it demonstrates that karst terrain requires an adapted formulation and that the use of a standard index in carbonate landscapes leads to bias. Nevertheless, the adaptation is done via the construction of the separate index for karst regions, rather than conditioning the response function on the lithology context, preventing the unified analysis of both types of units. There is a gap in models conditioning the response on the lithology context and being able to analyse karst and non-karst regions simultaneously. Wang et al. [25] suggested an adaptive indicator reduction method for the health assessment of terrestrial ecosystems in China, solving the problem of redundancy inherent to multi-indicator frameworks. The method reduces the subjectivity in indicator selection. Nevertheless, the output remains a static score of the health of ecosystems without any dynamics.</w:t>
      </w:r>
    </w:p>
    <w:p w14:paraId="058780A5" w14:textId="77777777" w:rsidR="00C0625A" w:rsidRPr="00C0625A" w:rsidRDefault="00C0625A" w:rsidP="00C0625A">
      <w:pPr>
        <w:jc w:val="both"/>
        <w:rPr>
          <w:rFonts w:ascii="Times New Roman" w:hAnsi="Times New Roman" w:cs="Times New Roman"/>
          <w:color w:val="000000" w:themeColor="text1"/>
          <w:sz w:val="24"/>
          <w:szCs w:val="24"/>
        </w:rPr>
      </w:pPr>
      <w:r w:rsidRPr="00C0625A">
        <w:rPr>
          <w:rFonts w:ascii="Times New Roman" w:hAnsi="Times New Roman" w:cs="Times New Roman"/>
          <w:color w:val="000000" w:themeColor="text1"/>
          <w:sz w:val="24"/>
          <w:szCs w:val="24"/>
        </w:rPr>
        <w:t>Li et al. [26] studied spatiotemporal patterns and driving forces of ecological quality in the Yangtze River Economic Belt using the geographically weighted ridge regression, addressing both spatial non-stationarity and multicollinearity among drivers. The study confirmed the existence of the spatial variations of the coefficient estimates. Nevertheless, geographically weighted regression constructs local independent models without information exchange along a connectivity structure and provides no forecasting capabilities. There is a gap in models that share parameters across space along the connectivity graph. Zhu et al. [27] conducted a multi-method analysis of the spatiotemporal dynamics and mutual response of land surface temperature and kernel normalised difference vegetation index across the Yangtze River Economic Belt. This study is especially important because it identifies the belt-wide trends and the coupling between the two state variables used in the current study, providing an independent benchmark against which the extracted trends can be validated. Nevertheless, the study is a diagnostic one with no predictive capabilities and no resilience parameterisation.</w:t>
      </w:r>
    </w:p>
    <w:p w14:paraId="3A5EF237" w14:textId="77777777" w:rsidR="00C0625A" w:rsidRPr="00C0625A" w:rsidRDefault="00C0625A" w:rsidP="00C0625A">
      <w:pPr>
        <w:jc w:val="both"/>
        <w:rPr>
          <w:rFonts w:ascii="Times New Roman" w:hAnsi="Times New Roman" w:cs="Times New Roman"/>
          <w:color w:val="000000" w:themeColor="text1"/>
          <w:sz w:val="24"/>
          <w:szCs w:val="24"/>
        </w:rPr>
      </w:pPr>
      <w:r w:rsidRPr="00C0625A">
        <w:rPr>
          <w:rFonts w:ascii="Times New Roman" w:hAnsi="Times New Roman" w:cs="Times New Roman"/>
          <w:color w:val="000000" w:themeColor="text1"/>
          <w:sz w:val="24"/>
          <w:szCs w:val="24"/>
        </w:rPr>
        <w:t xml:space="preserve">Soula et al. [28] proposed a BiLSTM-CNN model for predicting the large-scale spatiotemporal dynamics of the normalised difference vegetation index, demonstrating that hybrid recurrent-convolutional models can successfully forecast vegetation state across large regions. The study confirms the viability of deep sequence models for the vegetation state prediction. Nevertheless, the spatial structure is handled by convolution over the regular grid, which cannot represent irregular administrative units or hydrological connectivity, and the model outputs point forecasts without the bounded response parameters. There is a gap in formulations over the graph of irregular units. </w:t>
      </w:r>
      <w:proofErr w:type="spellStart"/>
      <w:r w:rsidRPr="00C0625A">
        <w:rPr>
          <w:rFonts w:ascii="Times New Roman" w:hAnsi="Times New Roman" w:cs="Times New Roman"/>
          <w:color w:val="000000" w:themeColor="text1"/>
          <w:sz w:val="24"/>
          <w:szCs w:val="24"/>
        </w:rPr>
        <w:t>Ke</w:t>
      </w:r>
      <w:proofErr w:type="spellEnd"/>
      <w:r w:rsidRPr="00C0625A">
        <w:rPr>
          <w:rFonts w:ascii="Times New Roman" w:hAnsi="Times New Roman" w:cs="Times New Roman"/>
          <w:color w:val="000000" w:themeColor="text1"/>
          <w:sz w:val="24"/>
          <w:szCs w:val="24"/>
        </w:rPr>
        <w:t xml:space="preserve"> et al. [29] introduced GT-</w:t>
      </w:r>
      <w:proofErr w:type="spellStart"/>
      <w:r w:rsidRPr="00C0625A">
        <w:rPr>
          <w:rFonts w:ascii="Times New Roman" w:hAnsi="Times New Roman" w:cs="Times New Roman"/>
          <w:color w:val="000000" w:themeColor="text1"/>
          <w:sz w:val="24"/>
          <w:szCs w:val="24"/>
        </w:rPr>
        <w:t>LandSDS</w:t>
      </w:r>
      <w:proofErr w:type="spellEnd"/>
      <w:r w:rsidRPr="00C0625A">
        <w:rPr>
          <w:rFonts w:ascii="Times New Roman" w:hAnsi="Times New Roman" w:cs="Times New Roman"/>
          <w:color w:val="000000" w:themeColor="text1"/>
          <w:sz w:val="24"/>
          <w:szCs w:val="24"/>
        </w:rPr>
        <w:t>, coupling cellular automata with the graph attention network and the transformer to simulate land-use dynamics, demonstrating that the graph attention combined with temporal attention outperforms the conventional cellular automata. The architecture is most similar to the current work. Nevertheless, the target is a discrete transition between the land uses rather than continuous ecological state anomaly, and no bounded dynamical coefficients are recovered.</w:t>
      </w:r>
    </w:p>
    <w:p w14:paraId="407D5A74" w14:textId="61C63194" w:rsidR="000F1827" w:rsidRDefault="00C0625A" w:rsidP="00C0625A">
      <w:pPr>
        <w:jc w:val="both"/>
        <w:rPr>
          <w:rFonts w:ascii="Times New Roman" w:hAnsi="Times New Roman" w:cs="Times New Roman"/>
          <w:color w:val="000000" w:themeColor="text1"/>
          <w:sz w:val="24"/>
          <w:szCs w:val="24"/>
        </w:rPr>
      </w:pPr>
      <w:r w:rsidRPr="00C0625A">
        <w:rPr>
          <w:rFonts w:ascii="Times New Roman" w:hAnsi="Times New Roman" w:cs="Times New Roman"/>
          <w:color w:val="000000" w:themeColor="text1"/>
          <w:sz w:val="24"/>
          <w:szCs w:val="24"/>
        </w:rPr>
        <w:lastRenderedPageBreak/>
        <w:t>Yang et al. [30] combined large language models and satellite embeddings for the evaluation of the ecological quality of the Tibetan Plateau, representing the current frontiers of foundation model application to ecological assessment. The study demonstrates that the learned embeddings can replace the hand-designed indices. Nevertheless, the resulting representation is entirely opaque, providing no bounded, physically interpretable quantity which a land manager can act on and no validation against trivial temporal benchmarks. There is a gap in models combining learned representation power with the structurally interpretable resilience parameters and rigorous benchmarking. Comparison of existing ecological resilience assessment, remote-sensing ecological quality and deep learning prediction methods with the proposed PERSIST is provided in Table 2.</w:t>
      </w:r>
    </w:p>
    <w:p w14:paraId="0B68E744" w14:textId="4523FC9E" w:rsidR="006F40E2" w:rsidRDefault="000A6FFB" w:rsidP="00C0625A">
      <w:pPr>
        <w:jc w:val="both"/>
        <w:rPr>
          <w:rFonts w:ascii="Times New Roman" w:hAnsi="Times New Roman" w:cs="Times New Roman"/>
          <w:b/>
          <w:bCs/>
          <w:color w:val="000000" w:themeColor="text1"/>
          <w:sz w:val="24"/>
          <w:szCs w:val="24"/>
        </w:rPr>
      </w:pPr>
      <w:r w:rsidRPr="000A6FFB">
        <w:rPr>
          <w:rFonts w:ascii="Times New Roman" w:hAnsi="Times New Roman" w:cs="Times New Roman"/>
          <w:b/>
          <w:bCs/>
          <w:color w:val="000000" w:themeColor="text1"/>
          <w:sz w:val="24"/>
          <w:szCs w:val="24"/>
        </w:rPr>
        <w:t>Table 2. Comparison of the proposed PERSIST with existing ecological resilience assessment and remote-sensing prediction methods.</w:t>
      </w:r>
    </w:p>
    <w:tbl>
      <w:tblPr>
        <w:tblStyle w:val="TableGrid"/>
        <w:tblW w:w="0" w:type="auto"/>
        <w:tblLook w:val="04A0" w:firstRow="1" w:lastRow="0" w:firstColumn="1" w:lastColumn="0" w:noHBand="0" w:noVBand="1"/>
      </w:tblPr>
      <w:tblGrid>
        <w:gridCol w:w="1036"/>
        <w:gridCol w:w="1092"/>
        <w:gridCol w:w="2105"/>
        <w:gridCol w:w="2275"/>
        <w:gridCol w:w="2508"/>
      </w:tblGrid>
      <w:tr w:rsidR="000A6FFB" w:rsidRPr="000A6FFB" w14:paraId="75C1E0F2" w14:textId="77777777" w:rsidTr="000A6FFB">
        <w:tc>
          <w:tcPr>
            <w:tcW w:w="0" w:type="auto"/>
            <w:hideMark/>
          </w:tcPr>
          <w:p w14:paraId="1D903CFF" w14:textId="77777777" w:rsidR="000A6FFB" w:rsidRPr="000A6FFB" w:rsidRDefault="000A6FFB" w:rsidP="000A6FFB">
            <w:pPr>
              <w:spacing w:before="100" w:beforeAutospacing="1" w:after="100" w:afterAutospacing="1"/>
              <w:jc w:val="center"/>
              <w:rPr>
                <w:rFonts w:ascii="Times New Roman" w:eastAsia="Times New Roman" w:hAnsi="Times New Roman" w:cs="Times New Roman"/>
                <w:b/>
                <w:bCs/>
                <w:lang w:eastAsia="en-IN"/>
              </w:rPr>
            </w:pPr>
            <w:r w:rsidRPr="000A6FFB">
              <w:rPr>
                <w:rFonts w:ascii="Times New Roman" w:eastAsia="Times New Roman" w:hAnsi="Times New Roman" w:cs="Times New Roman"/>
                <w:b/>
                <w:bCs/>
                <w:lang w:eastAsia="en-IN"/>
              </w:rPr>
              <w:t>Ref.</w:t>
            </w:r>
          </w:p>
        </w:tc>
        <w:tc>
          <w:tcPr>
            <w:tcW w:w="0" w:type="auto"/>
            <w:hideMark/>
          </w:tcPr>
          <w:p w14:paraId="4180C33A" w14:textId="77777777" w:rsidR="000A6FFB" w:rsidRPr="000A6FFB" w:rsidRDefault="000A6FFB" w:rsidP="000A6FFB">
            <w:pPr>
              <w:spacing w:before="100" w:beforeAutospacing="1" w:after="100" w:afterAutospacing="1"/>
              <w:jc w:val="center"/>
              <w:rPr>
                <w:rFonts w:ascii="Times New Roman" w:eastAsia="Times New Roman" w:hAnsi="Times New Roman" w:cs="Times New Roman"/>
                <w:b/>
                <w:bCs/>
                <w:lang w:eastAsia="en-IN"/>
              </w:rPr>
            </w:pPr>
            <w:r w:rsidRPr="000A6FFB">
              <w:rPr>
                <w:rFonts w:ascii="Times New Roman" w:eastAsia="Times New Roman" w:hAnsi="Times New Roman" w:cs="Times New Roman"/>
                <w:b/>
                <w:bCs/>
                <w:lang w:eastAsia="en-IN"/>
              </w:rPr>
              <w:t>Authors / Year</w:t>
            </w:r>
          </w:p>
        </w:tc>
        <w:tc>
          <w:tcPr>
            <w:tcW w:w="0" w:type="auto"/>
            <w:hideMark/>
          </w:tcPr>
          <w:p w14:paraId="03CE5194" w14:textId="77777777" w:rsidR="000A6FFB" w:rsidRPr="000A6FFB" w:rsidRDefault="000A6FFB" w:rsidP="000A6FFB">
            <w:pPr>
              <w:spacing w:before="100" w:beforeAutospacing="1" w:after="100" w:afterAutospacing="1"/>
              <w:jc w:val="center"/>
              <w:rPr>
                <w:rFonts w:ascii="Times New Roman" w:eastAsia="Times New Roman" w:hAnsi="Times New Roman" w:cs="Times New Roman"/>
                <w:b/>
                <w:bCs/>
                <w:lang w:eastAsia="en-IN"/>
              </w:rPr>
            </w:pPr>
            <w:r w:rsidRPr="000A6FFB">
              <w:rPr>
                <w:rFonts w:ascii="Times New Roman" w:eastAsia="Times New Roman" w:hAnsi="Times New Roman" w:cs="Times New Roman"/>
                <w:b/>
                <w:bCs/>
                <w:lang w:eastAsia="en-IN"/>
              </w:rPr>
              <w:t>Method / Focus</w:t>
            </w:r>
          </w:p>
        </w:tc>
        <w:tc>
          <w:tcPr>
            <w:tcW w:w="0" w:type="auto"/>
            <w:hideMark/>
          </w:tcPr>
          <w:p w14:paraId="1D1C5583" w14:textId="77777777" w:rsidR="000A6FFB" w:rsidRPr="000A6FFB" w:rsidRDefault="000A6FFB" w:rsidP="000A6FFB">
            <w:pPr>
              <w:spacing w:before="100" w:beforeAutospacing="1" w:after="100" w:afterAutospacing="1"/>
              <w:jc w:val="center"/>
              <w:rPr>
                <w:rFonts w:ascii="Times New Roman" w:eastAsia="Times New Roman" w:hAnsi="Times New Roman" w:cs="Times New Roman"/>
                <w:b/>
                <w:bCs/>
                <w:lang w:eastAsia="en-IN"/>
              </w:rPr>
            </w:pPr>
            <w:r w:rsidRPr="000A6FFB">
              <w:rPr>
                <w:rFonts w:ascii="Times New Roman" w:eastAsia="Times New Roman" w:hAnsi="Times New Roman" w:cs="Times New Roman"/>
                <w:b/>
                <w:bCs/>
                <w:lang w:eastAsia="en-IN"/>
              </w:rPr>
              <w:t>Major Findings</w:t>
            </w:r>
          </w:p>
        </w:tc>
        <w:tc>
          <w:tcPr>
            <w:tcW w:w="0" w:type="auto"/>
            <w:hideMark/>
          </w:tcPr>
          <w:p w14:paraId="630945A6" w14:textId="77777777" w:rsidR="000A6FFB" w:rsidRPr="000A6FFB" w:rsidRDefault="000A6FFB" w:rsidP="000A6FFB">
            <w:pPr>
              <w:spacing w:before="100" w:beforeAutospacing="1" w:after="100" w:afterAutospacing="1"/>
              <w:jc w:val="center"/>
              <w:rPr>
                <w:rFonts w:ascii="Times New Roman" w:eastAsia="Times New Roman" w:hAnsi="Times New Roman" w:cs="Times New Roman"/>
                <w:b/>
                <w:bCs/>
                <w:lang w:eastAsia="en-IN"/>
              </w:rPr>
            </w:pPr>
            <w:r w:rsidRPr="000A6FFB">
              <w:rPr>
                <w:rFonts w:ascii="Times New Roman" w:eastAsia="Times New Roman" w:hAnsi="Times New Roman" w:cs="Times New Roman"/>
                <w:b/>
                <w:bCs/>
                <w:lang w:eastAsia="en-IN"/>
              </w:rPr>
              <w:t>Limitations / Research Gap</w:t>
            </w:r>
          </w:p>
        </w:tc>
      </w:tr>
      <w:tr w:rsidR="000A6FFB" w:rsidRPr="000A6FFB" w14:paraId="17FBBF22" w14:textId="77777777" w:rsidTr="000A6FFB">
        <w:tc>
          <w:tcPr>
            <w:tcW w:w="0" w:type="auto"/>
            <w:hideMark/>
          </w:tcPr>
          <w:p w14:paraId="29DF967B"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[31]</w:t>
            </w:r>
          </w:p>
        </w:tc>
        <w:tc>
          <w:tcPr>
            <w:tcW w:w="0" w:type="auto"/>
            <w:hideMark/>
          </w:tcPr>
          <w:p w14:paraId="019CBC30"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Yuan et al. (2026)</w:t>
            </w:r>
          </w:p>
        </w:tc>
        <w:tc>
          <w:tcPr>
            <w:tcW w:w="0" w:type="auto"/>
            <w:hideMark/>
          </w:tcPr>
          <w:p w14:paraId="74EC2632"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 xml:space="preserve">Deep learning for mangrove </w:t>
            </w:r>
            <w:proofErr w:type="gramStart"/>
            <w:r w:rsidRPr="000A6FFB">
              <w:rPr>
                <w:rFonts w:ascii="Times New Roman" w:eastAsia="Times New Roman" w:hAnsi="Times New Roman" w:cs="Times New Roman"/>
                <w:lang w:eastAsia="en-IN"/>
              </w:rPr>
              <w:t>change</w:t>
            </w:r>
            <w:proofErr w:type="gramEnd"/>
            <w:r w:rsidRPr="000A6FFB">
              <w:rPr>
                <w:rFonts w:ascii="Times New Roman" w:eastAsia="Times New Roman" w:hAnsi="Times New Roman" w:cs="Times New Roman"/>
                <w:lang w:eastAsia="en-IN"/>
              </w:rPr>
              <w:t xml:space="preserve"> prediction at </w:t>
            </w:r>
            <w:proofErr w:type="spellStart"/>
            <w:r w:rsidRPr="000A6FFB">
              <w:rPr>
                <w:rFonts w:ascii="Times New Roman" w:eastAsia="Times New Roman" w:hAnsi="Times New Roman" w:cs="Times New Roman"/>
                <w:lang w:eastAsia="en-IN"/>
              </w:rPr>
              <w:t>Gaoqiao</w:t>
            </w:r>
            <w:proofErr w:type="spellEnd"/>
            <w:r w:rsidRPr="000A6FFB">
              <w:rPr>
                <w:rFonts w:ascii="Times New Roman" w:eastAsia="Times New Roman" w:hAnsi="Times New Roman" w:cs="Times New Roman"/>
                <w:lang w:eastAsia="en-IN"/>
              </w:rPr>
              <w:t xml:space="preserve"> Mangrove, China.</w:t>
            </w:r>
          </w:p>
        </w:tc>
        <w:tc>
          <w:tcPr>
            <w:tcW w:w="0" w:type="auto"/>
            <w:hideMark/>
          </w:tcPr>
          <w:p w14:paraId="2282452D"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Accurate prediction of mangrove extent change from multi-temporal imagery.</w:t>
            </w:r>
          </w:p>
        </w:tc>
        <w:tc>
          <w:tcPr>
            <w:tcW w:w="0" w:type="auto"/>
            <w:hideMark/>
          </w:tcPr>
          <w:p w14:paraId="7AA49BD9"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Single small coastal site and land-cover change target; no resilience parameters or basin-scale spatial structure.</w:t>
            </w:r>
          </w:p>
        </w:tc>
      </w:tr>
      <w:tr w:rsidR="000A6FFB" w:rsidRPr="000A6FFB" w14:paraId="50C1A208" w14:textId="77777777" w:rsidTr="000A6FFB">
        <w:tc>
          <w:tcPr>
            <w:tcW w:w="0" w:type="auto"/>
            <w:hideMark/>
          </w:tcPr>
          <w:p w14:paraId="2FE03306"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[32]</w:t>
            </w:r>
          </w:p>
        </w:tc>
        <w:tc>
          <w:tcPr>
            <w:tcW w:w="0" w:type="auto"/>
            <w:hideMark/>
          </w:tcPr>
          <w:p w14:paraId="47124572"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Yang (2026)</w:t>
            </w:r>
          </w:p>
        </w:tc>
        <w:tc>
          <w:tcPr>
            <w:tcW w:w="0" w:type="auto"/>
            <w:hideMark/>
          </w:tcPr>
          <w:p w14:paraId="22FEFF35"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ResNeXt-YOLOv5s-LSTM framework for tourism ecological environment quality assessment.</w:t>
            </w:r>
          </w:p>
        </w:tc>
        <w:tc>
          <w:tcPr>
            <w:tcW w:w="0" w:type="auto"/>
            <w:hideMark/>
          </w:tcPr>
          <w:p w14:paraId="2B915119"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Hybrid detection-recurrent pipeline improved ecological quality classification accuracy.</w:t>
            </w:r>
          </w:p>
        </w:tc>
        <w:tc>
          <w:tcPr>
            <w:tcW w:w="0" w:type="auto"/>
            <w:hideMark/>
          </w:tcPr>
          <w:p w14:paraId="00E0F272"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Classification of quality classes rather than continuous anomaly forecasting; no interpretable dynamical coefficients.</w:t>
            </w:r>
          </w:p>
        </w:tc>
      </w:tr>
      <w:tr w:rsidR="000A6FFB" w:rsidRPr="000A6FFB" w14:paraId="59717516" w14:textId="77777777" w:rsidTr="000A6FFB">
        <w:tc>
          <w:tcPr>
            <w:tcW w:w="0" w:type="auto"/>
            <w:hideMark/>
          </w:tcPr>
          <w:p w14:paraId="2F71E39A"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[33]</w:t>
            </w:r>
          </w:p>
        </w:tc>
        <w:tc>
          <w:tcPr>
            <w:tcW w:w="0" w:type="auto"/>
            <w:hideMark/>
          </w:tcPr>
          <w:p w14:paraId="3F354FF4"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Li et al. (2026)</w:t>
            </w:r>
          </w:p>
        </w:tc>
        <w:tc>
          <w:tcPr>
            <w:tcW w:w="0" w:type="auto"/>
            <w:hideMark/>
          </w:tcPr>
          <w:p w14:paraId="7B4928A4"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Review of Mamba state-space architectures and hybrid paradigms for remote sensing.</w:t>
            </w:r>
          </w:p>
        </w:tc>
        <w:tc>
          <w:tcPr>
            <w:tcW w:w="0" w:type="auto"/>
            <w:hideMark/>
          </w:tcPr>
          <w:p w14:paraId="40A91616"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Identified state-space models as an efficient alternative to attention for long sequences.</w:t>
            </w:r>
          </w:p>
        </w:tc>
        <w:tc>
          <w:tcPr>
            <w:tcW w:w="0" w:type="auto"/>
            <w:hideMark/>
          </w:tcPr>
          <w:p w14:paraId="31C1233C"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Review only; no ecological resilience formulation and no empirical baseline comparison.</w:t>
            </w:r>
          </w:p>
        </w:tc>
      </w:tr>
      <w:tr w:rsidR="000A6FFB" w:rsidRPr="000A6FFB" w14:paraId="37D97192" w14:textId="77777777" w:rsidTr="000A6FFB">
        <w:tc>
          <w:tcPr>
            <w:tcW w:w="0" w:type="auto"/>
            <w:hideMark/>
          </w:tcPr>
          <w:p w14:paraId="70A5A0FC"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[34]</w:t>
            </w:r>
          </w:p>
        </w:tc>
        <w:tc>
          <w:tcPr>
            <w:tcW w:w="0" w:type="auto"/>
            <w:hideMark/>
          </w:tcPr>
          <w:p w14:paraId="1D1DD524"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Wei et al. (2026)</w:t>
            </w:r>
          </w:p>
        </w:tc>
        <w:tc>
          <w:tcPr>
            <w:tcW w:w="0" w:type="auto"/>
            <w:hideMark/>
          </w:tcPr>
          <w:p w14:paraId="1C8687A5"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 xml:space="preserve">Multi-scenario regional spatial simulation using a </w:t>
            </w:r>
            <w:proofErr w:type="spellStart"/>
            <w:r w:rsidRPr="000A6FFB">
              <w:rPr>
                <w:rFonts w:ascii="Times New Roman" w:eastAsia="Times New Roman" w:hAnsi="Times New Roman" w:cs="Times New Roman"/>
                <w:lang w:eastAsia="en-IN"/>
              </w:rPr>
              <w:t>Unet</w:t>
            </w:r>
            <w:proofErr w:type="spellEnd"/>
            <w:r w:rsidRPr="000A6FFB">
              <w:rPr>
                <w:rFonts w:ascii="Times New Roman" w:eastAsia="Times New Roman" w:hAnsi="Times New Roman" w:cs="Times New Roman"/>
                <w:lang w:eastAsia="en-IN"/>
              </w:rPr>
              <w:t>++ architecture for the YREB.</w:t>
            </w:r>
          </w:p>
        </w:tc>
        <w:tc>
          <w:tcPr>
            <w:tcW w:w="0" w:type="auto"/>
            <w:hideMark/>
          </w:tcPr>
          <w:p w14:paraId="700E75F1"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proofErr w:type="spellStart"/>
            <w:r w:rsidRPr="000A6FFB">
              <w:rPr>
                <w:rFonts w:ascii="Times New Roman" w:eastAsia="Times New Roman" w:hAnsi="Times New Roman" w:cs="Times New Roman"/>
                <w:lang w:eastAsia="en-IN"/>
              </w:rPr>
              <w:t>Unet</w:t>
            </w:r>
            <w:proofErr w:type="spellEnd"/>
            <w:r w:rsidRPr="000A6FFB">
              <w:rPr>
                <w:rFonts w:ascii="Times New Roman" w:eastAsia="Times New Roman" w:hAnsi="Times New Roman" w:cs="Times New Roman"/>
                <w:lang w:eastAsia="en-IN"/>
              </w:rPr>
              <w:t>++ improved spatial simulation fidelity over conventional cellular automata.</w:t>
            </w:r>
          </w:p>
        </w:tc>
        <w:tc>
          <w:tcPr>
            <w:tcW w:w="0" w:type="auto"/>
            <w:hideMark/>
          </w:tcPr>
          <w:p w14:paraId="75CF96CF"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Grid-based land-use simulation; ignores irregular county units, hydrological flow and resilience quantification.</w:t>
            </w:r>
          </w:p>
        </w:tc>
      </w:tr>
      <w:tr w:rsidR="000A6FFB" w:rsidRPr="000A6FFB" w14:paraId="0E732B74" w14:textId="77777777" w:rsidTr="000A6FFB">
        <w:tc>
          <w:tcPr>
            <w:tcW w:w="0" w:type="auto"/>
            <w:hideMark/>
          </w:tcPr>
          <w:p w14:paraId="2BE6B6F2"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[35]</w:t>
            </w:r>
          </w:p>
        </w:tc>
        <w:tc>
          <w:tcPr>
            <w:tcW w:w="0" w:type="auto"/>
            <w:hideMark/>
          </w:tcPr>
          <w:p w14:paraId="4D0531A3"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Liu et al. (2025)</w:t>
            </w:r>
          </w:p>
        </w:tc>
        <w:tc>
          <w:tcPr>
            <w:tcW w:w="0" w:type="auto"/>
            <w:hideMark/>
          </w:tcPr>
          <w:p w14:paraId="5B4E1E3E"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RSEI change analysis coupled with Markov-FLUS modelling.</w:t>
            </w:r>
          </w:p>
        </w:tc>
        <w:tc>
          <w:tcPr>
            <w:tcW w:w="0" w:type="auto"/>
            <w:hideMark/>
          </w:tcPr>
          <w:p w14:paraId="5EEB1D2B"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Projected ecological index trajectories under alternative land-use scenarios.</w:t>
            </w:r>
          </w:p>
        </w:tc>
        <w:tc>
          <w:tcPr>
            <w:tcW w:w="0" w:type="auto"/>
            <w:hideMark/>
          </w:tcPr>
          <w:p w14:paraId="7CCAE2FE"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Index-based and rule-driven; disturbance response is prescribed rather than learned from observation.</w:t>
            </w:r>
          </w:p>
        </w:tc>
      </w:tr>
      <w:tr w:rsidR="000A6FFB" w:rsidRPr="000A6FFB" w14:paraId="37A37051" w14:textId="77777777" w:rsidTr="000A6FFB">
        <w:tc>
          <w:tcPr>
            <w:tcW w:w="0" w:type="auto"/>
            <w:hideMark/>
          </w:tcPr>
          <w:p w14:paraId="7356BA4F"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[36]</w:t>
            </w:r>
          </w:p>
        </w:tc>
        <w:tc>
          <w:tcPr>
            <w:tcW w:w="0" w:type="auto"/>
            <w:hideMark/>
          </w:tcPr>
          <w:p w14:paraId="6136593D"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Guo et al. (2025)</w:t>
            </w:r>
          </w:p>
        </w:tc>
        <w:tc>
          <w:tcPr>
            <w:tcW w:w="0" w:type="auto"/>
            <w:hideMark/>
          </w:tcPr>
          <w:p w14:paraId="7D0A72C4"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Coupled assessment of land-use change and ecological benefits from multi-source remote sensing.</w:t>
            </w:r>
          </w:p>
        </w:tc>
        <w:tc>
          <w:tcPr>
            <w:tcW w:w="0" w:type="auto"/>
            <w:hideMark/>
          </w:tcPr>
          <w:p w14:paraId="14E1C1D7"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Quantified ecological benefit changes attributable to land-use transition.</w:t>
            </w:r>
          </w:p>
        </w:tc>
        <w:tc>
          <w:tcPr>
            <w:tcW w:w="0" w:type="auto"/>
            <w:hideMark/>
          </w:tcPr>
          <w:p w14:paraId="33D619AA"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Descriptive coupling without predictive validation; no separation of resistance and recovery.</w:t>
            </w:r>
          </w:p>
        </w:tc>
      </w:tr>
      <w:tr w:rsidR="000A6FFB" w:rsidRPr="000A6FFB" w14:paraId="289ADF19" w14:textId="77777777" w:rsidTr="000A6FFB">
        <w:tc>
          <w:tcPr>
            <w:tcW w:w="0" w:type="auto"/>
            <w:hideMark/>
          </w:tcPr>
          <w:p w14:paraId="141899F0"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[37]</w:t>
            </w:r>
          </w:p>
        </w:tc>
        <w:tc>
          <w:tcPr>
            <w:tcW w:w="0" w:type="auto"/>
            <w:hideMark/>
          </w:tcPr>
          <w:p w14:paraId="0ED63CBF"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Yu et al. (2026)</w:t>
            </w:r>
          </w:p>
        </w:tc>
        <w:tc>
          <w:tcPr>
            <w:tcW w:w="0" w:type="auto"/>
            <w:hideMark/>
          </w:tcPr>
          <w:p w14:paraId="4BE51379"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 xml:space="preserve">Comparison of ecological quality between river-connected and disconnected lake </w:t>
            </w:r>
            <w:r w:rsidRPr="000A6FFB">
              <w:rPr>
                <w:rFonts w:ascii="Times New Roman" w:eastAsia="Times New Roman" w:hAnsi="Times New Roman" w:cs="Times New Roman"/>
                <w:lang w:eastAsia="en-IN"/>
              </w:rPr>
              <w:lastRenderedPageBreak/>
              <w:t>basins, lower Yangtze.</w:t>
            </w:r>
          </w:p>
        </w:tc>
        <w:tc>
          <w:tcPr>
            <w:tcW w:w="0" w:type="auto"/>
            <w:hideMark/>
          </w:tcPr>
          <w:p w14:paraId="2E28E99E"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lastRenderedPageBreak/>
              <w:t>Hydrological connectivity significantly conditions ecological quality outcomes.</w:t>
            </w:r>
          </w:p>
        </w:tc>
        <w:tc>
          <w:tcPr>
            <w:tcW w:w="0" w:type="auto"/>
            <w:hideMark/>
          </w:tcPr>
          <w:p w14:paraId="72971203"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Confirms connectivity matters but does not encode it as a graph inside a predictive model.</w:t>
            </w:r>
          </w:p>
        </w:tc>
      </w:tr>
      <w:tr w:rsidR="000A6FFB" w:rsidRPr="000A6FFB" w14:paraId="1955A038" w14:textId="77777777" w:rsidTr="000A6FFB">
        <w:tc>
          <w:tcPr>
            <w:tcW w:w="0" w:type="auto"/>
            <w:hideMark/>
          </w:tcPr>
          <w:p w14:paraId="586D8C09"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[38]</w:t>
            </w:r>
          </w:p>
        </w:tc>
        <w:tc>
          <w:tcPr>
            <w:tcW w:w="0" w:type="auto"/>
            <w:hideMark/>
          </w:tcPr>
          <w:p w14:paraId="7DA219D2"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Peng et al. (2026)</w:t>
            </w:r>
          </w:p>
        </w:tc>
        <w:tc>
          <w:tcPr>
            <w:tcW w:w="0" w:type="auto"/>
            <w:hideMark/>
          </w:tcPr>
          <w:p w14:paraId="4EC58459"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Effect of digital technological innovation on urban renewal–ecological resilience coordination, YREB.</w:t>
            </w:r>
          </w:p>
        </w:tc>
        <w:tc>
          <w:tcPr>
            <w:tcW w:w="0" w:type="auto"/>
            <w:hideMark/>
          </w:tcPr>
          <w:p w14:paraId="0A733C4D"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Digital innovation improves coupling coordination between renewal and resilience.</w:t>
            </w:r>
          </w:p>
        </w:tc>
        <w:tc>
          <w:tcPr>
            <w:tcW w:w="0" w:type="auto"/>
            <w:hideMark/>
          </w:tcPr>
          <w:p w14:paraId="01DD1404"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Econometric panel analysis at city level; no remote sensing, no sub-annual dynamics.</w:t>
            </w:r>
          </w:p>
        </w:tc>
      </w:tr>
      <w:tr w:rsidR="000A6FFB" w:rsidRPr="000A6FFB" w14:paraId="2606B506" w14:textId="77777777" w:rsidTr="000A6FFB">
        <w:tc>
          <w:tcPr>
            <w:tcW w:w="0" w:type="auto"/>
            <w:hideMark/>
          </w:tcPr>
          <w:p w14:paraId="04F031C2"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[39]</w:t>
            </w:r>
          </w:p>
        </w:tc>
        <w:tc>
          <w:tcPr>
            <w:tcW w:w="0" w:type="auto"/>
            <w:hideMark/>
          </w:tcPr>
          <w:p w14:paraId="0DB18671"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Ma et al. (2026)</w:t>
            </w:r>
          </w:p>
        </w:tc>
        <w:tc>
          <w:tcPr>
            <w:tcW w:w="0" w:type="auto"/>
            <w:hideMark/>
          </w:tcPr>
          <w:p w14:paraId="6E7F61E8"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Ecological compensation efficiency and urban economic resilience in the YREB.</w:t>
            </w:r>
          </w:p>
        </w:tc>
        <w:tc>
          <w:tcPr>
            <w:tcW w:w="0" w:type="auto"/>
            <w:hideMark/>
          </w:tcPr>
          <w:p w14:paraId="27DBFEB7"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Compensation efficiency positively influences economic resilience.</w:t>
            </w:r>
          </w:p>
        </w:tc>
        <w:tc>
          <w:tcPr>
            <w:tcW w:w="0" w:type="auto"/>
            <w:hideMark/>
          </w:tcPr>
          <w:p w14:paraId="3DC768A7"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Economic rather than ecological resilience; annual prefecture panel without spatial modelling.</w:t>
            </w:r>
          </w:p>
        </w:tc>
      </w:tr>
      <w:tr w:rsidR="000A6FFB" w:rsidRPr="000A6FFB" w14:paraId="397676BC" w14:textId="77777777" w:rsidTr="000A6FFB">
        <w:tc>
          <w:tcPr>
            <w:tcW w:w="0" w:type="auto"/>
            <w:hideMark/>
          </w:tcPr>
          <w:p w14:paraId="6A5B5F4C"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[40]</w:t>
            </w:r>
          </w:p>
        </w:tc>
        <w:tc>
          <w:tcPr>
            <w:tcW w:w="0" w:type="auto"/>
            <w:hideMark/>
          </w:tcPr>
          <w:p w14:paraId="4E63E8AF"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Kong et al. (2025)</w:t>
            </w:r>
          </w:p>
        </w:tc>
        <w:tc>
          <w:tcPr>
            <w:tcW w:w="0" w:type="auto"/>
            <w:hideMark/>
          </w:tcPr>
          <w:p w14:paraId="69E26800"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Heterogeneity analysis of new quality productive forces on ecological resilience, Yangtze River Delta.</w:t>
            </w:r>
          </w:p>
        </w:tc>
        <w:tc>
          <w:tcPr>
            <w:tcW w:w="0" w:type="auto"/>
            <w:hideMark/>
          </w:tcPr>
          <w:p w14:paraId="2DBCAD74"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Productive-force effects on resilience are strongly heterogeneous across cities.</w:t>
            </w:r>
          </w:p>
        </w:tc>
        <w:tc>
          <w:tcPr>
            <w:tcW w:w="0" w:type="auto"/>
            <w:hideMark/>
          </w:tcPr>
          <w:p w14:paraId="3A5712BC"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Socioeconomic drivers only; resilience remains a composite index without dynamical estimation.</w:t>
            </w:r>
          </w:p>
        </w:tc>
      </w:tr>
      <w:tr w:rsidR="000A6FFB" w:rsidRPr="000A6FFB" w14:paraId="6738174D" w14:textId="77777777" w:rsidTr="000A6FFB">
        <w:tc>
          <w:tcPr>
            <w:tcW w:w="0" w:type="auto"/>
            <w:hideMark/>
          </w:tcPr>
          <w:p w14:paraId="10B5EC3B"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[41]</w:t>
            </w:r>
          </w:p>
        </w:tc>
        <w:tc>
          <w:tcPr>
            <w:tcW w:w="0" w:type="auto"/>
            <w:hideMark/>
          </w:tcPr>
          <w:p w14:paraId="2E34566C"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Yang (2025)</w:t>
            </w:r>
          </w:p>
        </w:tc>
        <w:tc>
          <w:tcPr>
            <w:tcW w:w="0" w:type="auto"/>
            <w:hideMark/>
          </w:tcPr>
          <w:p w14:paraId="28E42F8C"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Coupling coordination between green innovation efficiency and urban ecological resilience, Yangtze River Delta.</w:t>
            </w:r>
          </w:p>
        </w:tc>
        <w:tc>
          <w:tcPr>
            <w:tcW w:w="0" w:type="auto"/>
            <w:hideMark/>
          </w:tcPr>
          <w:p w14:paraId="5500DE2E"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Established significant coupling coordination and its spatiotemporal evolution.</w:t>
            </w:r>
          </w:p>
        </w:tc>
        <w:tc>
          <w:tcPr>
            <w:tcW w:w="0" w:type="auto"/>
            <w:hideMark/>
          </w:tcPr>
          <w:p w14:paraId="1D588020"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Coordination-degree analysis; no predictive model and no county-scale remote sensing.</w:t>
            </w:r>
          </w:p>
        </w:tc>
      </w:tr>
      <w:tr w:rsidR="000A6FFB" w:rsidRPr="000A6FFB" w14:paraId="4B4083AD" w14:textId="77777777" w:rsidTr="000A6FFB">
        <w:tc>
          <w:tcPr>
            <w:tcW w:w="0" w:type="auto"/>
            <w:hideMark/>
          </w:tcPr>
          <w:p w14:paraId="6DE2D058"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[42]</w:t>
            </w:r>
          </w:p>
        </w:tc>
        <w:tc>
          <w:tcPr>
            <w:tcW w:w="0" w:type="auto"/>
            <w:hideMark/>
          </w:tcPr>
          <w:p w14:paraId="315FA4F9"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Wang et al. (2026)</w:t>
            </w:r>
          </w:p>
        </w:tc>
        <w:tc>
          <w:tcPr>
            <w:tcW w:w="0" w:type="auto"/>
            <w:hideMark/>
          </w:tcPr>
          <w:p w14:paraId="3D48B89A"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Spatiotemporal evolution of rural digitalisation and ecosystem services at county level, YREB.</w:t>
            </w:r>
          </w:p>
        </w:tc>
        <w:tc>
          <w:tcPr>
            <w:tcW w:w="0" w:type="auto"/>
            <w:hideMark/>
          </w:tcPr>
          <w:p w14:paraId="29DEC51D"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County-level digitalisation is spatially associated with ecosystem service supply.</w:t>
            </w:r>
          </w:p>
        </w:tc>
        <w:tc>
          <w:tcPr>
            <w:tcW w:w="0" w:type="auto"/>
            <w:hideMark/>
          </w:tcPr>
          <w:p w14:paraId="623CA2DB"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Correlational county analysis; ecosystem services proxied by indices without disturbance-response modelling.</w:t>
            </w:r>
          </w:p>
        </w:tc>
      </w:tr>
      <w:tr w:rsidR="000A6FFB" w:rsidRPr="000A6FFB" w14:paraId="78A3ABA7" w14:textId="77777777" w:rsidTr="000A6FFB">
        <w:tc>
          <w:tcPr>
            <w:tcW w:w="0" w:type="auto"/>
            <w:hideMark/>
          </w:tcPr>
          <w:p w14:paraId="05084EB4"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Proposed</w:t>
            </w:r>
          </w:p>
        </w:tc>
        <w:tc>
          <w:tcPr>
            <w:tcW w:w="0" w:type="auto"/>
            <w:hideMark/>
          </w:tcPr>
          <w:p w14:paraId="2AC0147A"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PERSIST (2026)</w:t>
            </w:r>
          </w:p>
        </w:tc>
        <w:tc>
          <w:tcPr>
            <w:tcW w:w="0" w:type="auto"/>
            <w:hideMark/>
          </w:tcPr>
          <w:p w14:paraId="25DE51EE"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Process-informed spatiotemporal deep learning with a disturbance-conditioned response decoder, dual-graph message passing over contiguity and directed hydrological flow, lithology-adaptive mixture of experts, and an ecologically-constrained objective.</w:t>
            </w:r>
          </w:p>
        </w:tc>
        <w:tc>
          <w:tcPr>
            <w:tcW w:w="0" w:type="auto"/>
            <w:hideMark/>
          </w:tcPr>
          <w:p w14:paraId="5CF9E77C"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Recovers bounded persistence, seasonal-carry, forcing-sensitivity and offset coefficients that nest the trivial references and yield county-level recovery rate and resistance directly; evaluated on 1,068 counties over 2000–2020 against four trivial references, three deep baselines retrained on the identical target, and seven component-wise ablations.</w:t>
            </w:r>
          </w:p>
        </w:tc>
        <w:tc>
          <w:tcPr>
            <w:tcW w:w="0" w:type="auto"/>
            <w:hideMark/>
          </w:tcPr>
          <w:p w14:paraId="7A325995" w14:textId="77777777" w:rsidR="000A6FFB" w:rsidRPr="000A6FFB" w:rsidRDefault="000A6FFB" w:rsidP="000A6FFB">
            <w:pPr>
              <w:spacing w:before="100" w:beforeAutospacing="1" w:after="100" w:afterAutospacing="1"/>
              <w:rPr>
                <w:rFonts w:ascii="Times New Roman" w:eastAsia="Times New Roman" w:hAnsi="Times New Roman" w:cs="Times New Roman"/>
                <w:lang w:eastAsia="en-IN"/>
              </w:rPr>
            </w:pPr>
            <w:r w:rsidRPr="000A6FFB">
              <w:rPr>
                <w:rFonts w:ascii="Times New Roman" w:eastAsia="Times New Roman" w:hAnsi="Times New Roman" w:cs="Times New Roman"/>
                <w:lang w:eastAsia="en-IN"/>
              </w:rPr>
              <w:t>Integrates interpretable resilience parameterisation, explicit spatial and hydrological structure, lithological conditioning and a predictability-audited protocol in one framework. Residual spatial autocorrelation remains higher than that of a plain spatiotemporal graph convolution, and validation is confined to remotely sensed proxies without in-situ ecological measurement.</w:t>
            </w:r>
          </w:p>
        </w:tc>
      </w:tr>
    </w:tbl>
    <w:p w14:paraId="109F1471" w14:textId="51E31CD3" w:rsidR="000A6FFB" w:rsidRDefault="000A6FFB" w:rsidP="000A6FFB">
      <w:pPr>
        <w:jc w:val="both"/>
        <w:rPr>
          <w:rFonts w:ascii="Times New Roman" w:hAnsi="Times New Roman" w:cs="Times New Roman"/>
          <w:b/>
          <w:bCs/>
          <w:color w:val="000000" w:themeColor="text1"/>
          <w:sz w:val="24"/>
          <w:szCs w:val="24"/>
        </w:rPr>
      </w:pPr>
    </w:p>
    <w:p w14:paraId="10D59A28" w14:textId="649FDC9E" w:rsidR="000A6FFB" w:rsidRDefault="000A6FFB" w:rsidP="000A6FFB">
      <w:pPr>
        <w:jc w:val="both"/>
        <w:rPr>
          <w:rFonts w:ascii="Times New Roman" w:hAnsi="Times New Roman" w:cs="Times New Roman"/>
          <w:color w:val="000000" w:themeColor="text1"/>
          <w:sz w:val="24"/>
          <w:szCs w:val="24"/>
        </w:rPr>
      </w:pPr>
      <w:r w:rsidRPr="000A6FFB">
        <w:rPr>
          <w:rFonts w:ascii="Times New Roman" w:hAnsi="Times New Roman" w:cs="Times New Roman"/>
          <w:color w:val="000000" w:themeColor="text1"/>
          <w:sz w:val="24"/>
          <w:szCs w:val="24"/>
        </w:rPr>
        <w:t xml:space="preserve">Taking into account the abovementioned literature review, there have been numerous developments in terms of the composite resilience indicators development, spatial statistical </w:t>
      </w:r>
      <w:r w:rsidRPr="000A6FFB">
        <w:rPr>
          <w:rFonts w:ascii="Times New Roman" w:hAnsi="Times New Roman" w:cs="Times New Roman"/>
          <w:color w:val="000000" w:themeColor="text1"/>
          <w:sz w:val="24"/>
          <w:szCs w:val="24"/>
        </w:rPr>
        <w:lastRenderedPageBreak/>
        <w:t xml:space="preserve">analysis, </w:t>
      </w:r>
      <w:proofErr w:type="gramStart"/>
      <w:r w:rsidRPr="000A6FFB">
        <w:rPr>
          <w:rFonts w:ascii="Times New Roman" w:hAnsi="Times New Roman" w:cs="Times New Roman"/>
          <w:color w:val="000000" w:themeColor="text1"/>
          <w:sz w:val="24"/>
          <w:szCs w:val="24"/>
        </w:rPr>
        <w:t>drivers</w:t>
      </w:r>
      <w:proofErr w:type="gramEnd"/>
      <w:r w:rsidRPr="000A6FFB">
        <w:rPr>
          <w:rFonts w:ascii="Times New Roman" w:hAnsi="Times New Roman" w:cs="Times New Roman"/>
          <w:color w:val="000000" w:themeColor="text1"/>
          <w:sz w:val="24"/>
          <w:szCs w:val="24"/>
        </w:rPr>
        <w:t xml:space="preserve"> identification, satellite assessment of ecological quality and application of deep learning methods to environmental predictions in the Yangtze River Economic Belt and similar areas. However, most of the existing studies deal only with particular issues, like index development, cross-sectional spatial analysis, nonlinear </w:t>
      </w:r>
      <w:proofErr w:type="gramStart"/>
      <w:r w:rsidRPr="000A6FFB">
        <w:rPr>
          <w:rFonts w:ascii="Times New Roman" w:hAnsi="Times New Roman" w:cs="Times New Roman"/>
          <w:color w:val="000000" w:themeColor="text1"/>
          <w:sz w:val="24"/>
          <w:szCs w:val="24"/>
        </w:rPr>
        <w:t>drivers</w:t>
      </w:r>
      <w:proofErr w:type="gramEnd"/>
      <w:r w:rsidRPr="000A6FFB">
        <w:rPr>
          <w:rFonts w:ascii="Times New Roman" w:hAnsi="Times New Roman" w:cs="Times New Roman"/>
          <w:color w:val="000000" w:themeColor="text1"/>
          <w:sz w:val="24"/>
          <w:szCs w:val="24"/>
        </w:rPr>
        <w:t xml:space="preserve"> analysis, scenarios simulation and vegetation forecasting, but fail to provide an integrated method for estimating ecological resilience as bounded parameters of a fitted response model. Moreover, most existing solutions do not incorporate geological and topographic environment with spatial and hydrological connections in one estimation, although it has been shown that both variables matter. Although many studies mention three different types of resilience – resistance, adaptability and recovery – and consider them as distinct dimensions, these dimensions are constructed on the basis of individual indicators and their combination using assigned analyst weights. Besides, it is rare for the existing research to test reported accuracy not only on a trivial temporal reference, but also on the measure of predictability ceiling and decomposition of pooled goodness of fit into between-unit and within-unit parts, so it is difficult to state whether this accuracy is actually due to the prediction ability or just because of level differences.</w:t>
      </w:r>
    </w:p>
    <w:p w14:paraId="4DA8C402" w14:textId="77777777" w:rsidR="00B61F39" w:rsidRPr="00B61F39" w:rsidRDefault="00B61F39" w:rsidP="00B61F39">
      <w:pPr>
        <w:jc w:val="both"/>
        <w:rPr>
          <w:rFonts w:ascii="Times New Roman" w:hAnsi="Times New Roman" w:cs="Times New Roman"/>
          <w:b/>
          <w:bCs/>
          <w:color w:val="000000" w:themeColor="text1"/>
          <w:sz w:val="24"/>
          <w:szCs w:val="24"/>
        </w:rPr>
      </w:pPr>
      <w:r w:rsidRPr="00B61F39">
        <w:rPr>
          <w:rFonts w:ascii="Times New Roman" w:hAnsi="Times New Roman" w:cs="Times New Roman"/>
          <w:b/>
          <w:bCs/>
          <w:color w:val="000000" w:themeColor="text1"/>
          <w:sz w:val="24"/>
          <w:szCs w:val="24"/>
        </w:rPr>
        <w:t>3. Proposed Methodology</w:t>
      </w:r>
    </w:p>
    <w:p w14:paraId="63DF787B" w14:textId="7ADFA50B" w:rsidR="000A6FFB" w:rsidRDefault="00B61F39" w:rsidP="00B61F39">
      <w:pPr>
        <w:jc w:val="both"/>
        <w:rPr>
          <w:rFonts w:ascii="Times New Roman" w:hAnsi="Times New Roman" w:cs="Times New Roman"/>
          <w:color w:val="000000" w:themeColor="text1"/>
          <w:sz w:val="24"/>
          <w:szCs w:val="24"/>
        </w:rPr>
      </w:pPr>
      <w:r w:rsidRPr="00B61F39">
        <w:rPr>
          <w:rFonts w:ascii="Times New Roman" w:hAnsi="Times New Roman" w:cs="Times New Roman"/>
          <w:color w:val="000000" w:themeColor="text1"/>
          <w:sz w:val="24"/>
          <w:szCs w:val="24"/>
        </w:rPr>
        <w:t xml:space="preserve">The proposed PERSIST (Process-Informed Spatiotemporal Framework for Seasonal Ecological Resilience Assessment) framework can be applied for ecological resilience estimation at the scale of counties in large and highly heterogeneous river basins with observations affected by gaps and seasonal biases from satellites. Different from existing ecological resilience estimation frameworks that either construct a composite index, perform cross-sectional analysis or post-process driver attribution, the proposed framework integrates the following elements into a unified estimation pipeline: process-informed state representation, dual graph message passing, lithology-adaptive expert gating, disturbance-conditioned response decoder, and ecologically-constrained training objective. First, multisource observations include MODIS land surface temperature and vegetation indices, </w:t>
      </w:r>
      <w:proofErr w:type="spellStart"/>
      <w:r w:rsidRPr="00B61F39">
        <w:rPr>
          <w:rFonts w:ascii="Times New Roman" w:hAnsi="Times New Roman" w:cs="Times New Roman"/>
          <w:color w:val="000000" w:themeColor="text1"/>
          <w:sz w:val="24"/>
          <w:szCs w:val="24"/>
        </w:rPr>
        <w:t>TerraClimate</w:t>
      </w:r>
      <w:proofErr w:type="spellEnd"/>
      <w:r w:rsidRPr="00B61F39">
        <w:rPr>
          <w:rFonts w:ascii="Times New Roman" w:hAnsi="Times New Roman" w:cs="Times New Roman"/>
          <w:color w:val="000000" w:themeColor="text1"/>
          <w:sz w:val="24"/>
          <w:szCs w:val="24"/>
        </w:rPr>
        <w:t xml:space="preserve"> forcing, terrain derivatives, karst extent and </w:t>
      </w:r>
      <w:proofErr w:type="spellStart"/>
      <w:r w:rsidRPr="00B61F39">
        <w:rPr>
          <w:rFonts w:ascii="Times New Roman" w:hAnsi="Times New Roman" w:cs="Times New Roman"/>
          <w:color w:val="000000" w:themeColor="text1"/>
          <w:sz w:val="24"/>
          <w:szCs w:val="24"/>
        </w:rPr>
        <w:t>nighttime</w:t>
      </w:r>
      <w:proofErr w:type="spellEnd"/>
      <w:r w:rsidRPr="00B61F39">
        <w:rPr>
          <w:rFonts w:ascii="Times New Roman" w:hAnsi="Times New Roman" w:cs="Times New Roman"/>
          <w:color w:val="000000" w:themeColor="text1"/>
          <w:sz w:val="24"/>
          <w:szCs w:val="24"/>
        </w:rPr>
        <w:t xml:space="preserve"> lights, which are aggregated per county and built into a monthly time-series. Then, the temperature and vegetation time-series are </w:t>
      </w:r>
      <w:proofErr w:type="spellStart"/>
      <w:r w:rsidRPr="00B61F39">
        <w:rPr>
          <w:rFonts w:ascii="Times New Roman" w:hAnsi="Times New Roman" w:cs="Times New Roman"/>
          <w:color w:val="000000" w:themeColor="text1"/>
          <w:sz w:val="24"/>
          <w:szCs w:val="24"/>
        </w:rPr>
        <w:t>deseasonalized</w:t>
      </w:r>
      <w:proofErr w:type="spellEnd"/>
      <w:r w:rsidRPr="00B61F39">
        <w:rPr>
          <w:rFonts w:ascii="Times New Roman" w:hAnsi="Times New Roman" w:cs="Times New Roman"/>
          <w:color w:val="000000" w:themeColor="text1"/>
          <w:sz w:val="24"/>
          <w:szCs w:val="24"/>
        </w:rPr>
        <w:t xml:space="preserve"> against the train-only monthly climatology and aggregated into forward three-month average anomaly, with embargoed temporal splits such that neither input nor target time-windows crosses the split boundaries. The resulting state is further fed into the hierarchical encoder, which consists of monthly recurrent branch and annual branch running on yearly deltas, combined with static terrain and karst context. Dual graph message passing spreads information across county contiguity and hydrological flow directions. Meanwhile, the lithology-adaptive mixture of experts modulates the response decoder based on the geological conditions. Finally, the Disturbance Conditioned Response Decoder produces four sets of bounded persistence, seasonal carry, forcing sensitivity, and offset parameters, such that the county-level recovery rate and resistance are estimated directly through the model parameters but not post-process attributions. In order to ensure that the response function learned by the model is physically meaningful, the ecologically constrained objective adds reconstruction, temporal smoothness of persistence, spatial smoothness of residual and load balancing between the experts to the prediction objective. The performance of the model is evaluated through skill score, non-overlapping stride-based evaluation, spatial residual autocorrelation, disturbance window error, comparisons against four trivial references and three deep baselines re-trained with the same target and seven individual components' </w:t>
      </w:r>
      <w:r w:rsidRPr="00B61F39">
        <w:rPr>
          <w:rFonts w:ascii="Times New Roman" w:hAnsi="Times New Roman" w:cs="Times New Roman"/>
          <w:color w:val="000000" w:themeColor="text1"/>
          <w:sz w:val="24"/>
          <w:szCs w:val="24"/>
        </w:rPr>
        <w:lastRenderedPageBreak/>
        <w:t>ablation test with respect to a seed noise band. The full pipeline of the proposed PERSIST framework is illustrated in Figure 1.</w:t>
      </w:r>
    </w:p>
    <w:p w14:paraId="70CB9C11" w14:textId="02922AC4" w:rsidR="008B5D3F" w:rsidRDefault="008B5D3F" w:rsidP="00B61F39">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71B344A5" wp14:editId="489E78EE">
            <wp:extent cx="5731510" cy="35198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19805"/>
                    </a:xfrm>
                    <a:prstGeom prst="rect">
                      <a:avLst/>
                    </a:prstGeom>
                  </pic:spPr>
                </pic:pic>
              </a:graphicData>
            </a:graphic>
          </wp:inline>
        </w:drawing>
      </w:r>
    </w:p>
    <w:p w14:paraId="3C7F4EAF" w14:textId="4FC6B9A5" w:rsidR="008B5D3F" w:rsidRDefault="008B5D3F" w:rsidP="008B5D3F">
      <w:pPr>
        <w:jc w:val="center"/>
        <w:rPr>
          <w:rFonts w:ascii="Times New Roman" w:hAnsi="Times New Roman" w:cs="Times New Roman"/>
          <w:sz w:val="24"/>
          <w:szCs w:val="24"/>
        </w:rPr>
      </w:pPr>
      <w:r w:rsidRPr="00E303A5">
        <w:rPr>
          <w:rFonts w:ascii="Times New Roman" w:hAnsi="Times New Roman" w:cs="Times New Roman"/>
          <w:sz w:val="24"/>
          <w:szCs w:val="24"/>
        </w:rPr>
        <w:t xml:space="preserve">Figure 1. Overall workflow of the proposed </w:t>
      </w:r>
      <w:r>
        <w:rPr>
          <w:rFonts w:ascii="Times New Roman" w:hAnsi="Times New Roman" w:cs="Times New Roman"/>
          <w:sz w:val="24"/>
          <w:szCs w:val="24"/>
        </w:rPr>
        <w:t>PERSIST</w:t>
      </w:r>
      <w:r w:rsidRPr="00E303A5">
        <w:rPr>
          <w:rFonts w:ascii="Times New Roman" w:hAnsi="Times New Roman" w:cs="Times New Roman"/>
          <w:sz w:val="24"/>
          <w:szCs w:val="24"/>
        </w:rPr>
        <w:t xml:space="preserve"> framework.</w:t>
      </w:r>
    </w:p>
    <w:p w14:paraId="431682C9" w14:textId="77777777" w:rsidR="00BB654C" w:rsidRPr="00BB654C" w:rsidRDefault="00BB654C" w:rsidP="00BB654C">
      <w:pPr>
        <w:rPr>
          <w:rFonts w:ascii="Times New Roman" w:hAnsi="Times New Roman" w:cs="Times New Roman"/>
          <w:b/>
          <w:bCs/>
          <w:color w:val="000000" w:themeColor="text1"/>
          <w:sz w:val="24"/>
          <w:szCs w:val="24"/>
        </w:rPr>
      </w:pPr>
      <w:r w:rsidRPr="00BB654C">
        <w:rPr>
          <w:rFonts w:ascii="Times New Roman" w:hAnsi="Times New Roman" w:cs="Times New Roman"/>
          <w:b/>
          <w:bCs/>
          <w:color w:val="000000" w:themeColor="text1"/>
          <w:sz w:val="24"/>
          <w:szCs w:val="24"/>
        </w:rPr>
        <w:t>3.1 Dataset Description</w:t>
      </w:r>
    </w:p>
    <w:p w14:paraId="25B3F05F" w14:textId="7AC6C6B6" w:rsidR="00BB654C" w:rsidRPr="00BB654C" w:rsidRDefault="00BB654C" w:rsidP="00BB654C">
      <w:pPr>
        <w:jc w:val="both"/>
        <w:rPr>
          <w:rFonts w:ascii="Times New Roman" w:hAnsi="Times New Roman" w:cs="Times New Roman"/>
          <w:color w:val="000000" w:themeColor="text1"/>
          <w:sz w:val="24"/>
          <w:szCs w:val="24"/>
        </w:rPr>
      </w:pPr>
      <w:r w:rsidRPr="00BB654C">
        <w:rPr>
          <w:rFonts w:ascii="Times New Roman" w:hAnsi="Times New Roman" w:cs="Times New Roman"/>
          <w:color w:val="000000" w:themeColor="text1"/>
          <w:sz w:val="24"/>
          <w:szCs w:val="24"/>
        </w:rPr>
        <w:t xml:space="preserve">An artificial constructed county-level monthly panel of the Yangtze River Economic Belt is selected as the primary dataset for the development and evaluation of the PERSIST framework due to its sequential measurements of the ecological state with a more sophisticated amount of process-related physiographic and disturbance context for resilience estimation via structured deep learning. In contrast to conventional ecological assessment datasets with annual composite indices or single-date imagery, the offered panel comprises thermal and vegetation state measurements, climatic forcing, standardised disturbance anomalies, static physiography and lithology, human pressure proxies, and observation validity information enabling the proposed framework to learn operating condition awareness and disturbance response behaviour. The panel consists of 269,136 rows and 58 columns that are equivalent to sequential monthly observations collected under three reach configurations. The number of logical county series amounts to 1,068 and each of them comprises 252 sequential monthly steps, where a series is uniquely identified via its GB/T 2260 administrative code. The measured observations are land surface temperature from MOD11A2, </w:t>
      </w:r>
      <w:proofErr w:type="spellStart"/>
      <w:r w:rsidRPr="00BB654C">
        <w:rPr>
          <w:rFonts w:ascii="Times New Roman" w:hAnsi="Times New Roman" w:cs="Times New Roman"/>
          <w:color w:val="000000" w:themeColor="text1"/>
          <w:sz w:val="24"/>
          <w:szCs w:val="24"/>
        </w:rPr>
        <w:t>kNDVI</w:t>
      </w:r>
      <w:proofErr w:type="spellEnd"/>
      <w:r w:rsidRPr="00BB654C">
        <w:rPr>
          <w:rFonts w:ascii="Times New Roman" w:hAnsi="Times New Roman" w:cs="Times New Roman"/>
          <w:color w:val="000000" w:themeColor="text1"/>
          <w:sz w:val="24"/>
          <w:szCs w:val="24"/>
        </w:rPr>
        <w:t xml:space="preserve"> and NDVI from MOD13Q1, and twelve climatic forcing variables from </w:t>
      </w:r>
      <w:proofErr w:type="spellStart"/>
      <w:r w:rsidRPr="00BB654C">
        <w:rPr>
          <w:rFonts w:ascii="Times New Roman" w:hAnsi="Times New Roman" w:cs="Times New Roman"/>
          <w:color w:val="000000" w:themeColor="text1"/>
          <w:sz w:val="24"/>
          <w:szCs w:val="24"/>
        </w:rPr>
        <w:t>TerraClimate</w:t>
      </w:r>
      <w:proofErr w:type="spellEnd"/>
      <w:r w:rsidRPr="00BB654C">
        <w:rPr>
          <w:rFonts w:ascii="Times New Roman" w:hAnsi="Times New Roman" w:cs="Times New Roman"/>
          <w:color w:val="000000" w:themeColor="text1"/>
          <w:sz w:val="24"/>
          <w:szCs w:val="24"/>
        </w:rPr>
        <w:t xml:space="preserve">, whereas static descriptors are elevation, relief, slope and roughness from the Copernicus GLO-30 DEM, carbonate rock fraction from WOKAM, and radiance from the harmonised DMSP–VIIRS </w:t>
      </w:r>
      <w:proofErr w:type="spellStart"/>
      <w:r w:rsidRPr="00BB654C">
        <w:rPr>
          <w:rFonts w:ascii="Times New Roman" w:hAnsi="Times New Roman" w:cs="Times New Roman"/>
          <w:color w:val="000000" w:themeColor="text1"/>
          <w:sz w:val="24"/>
          <w:szCs w:val="24"/>
        </w:rPr>
        <w:t>nighttime</w:t>
      </w:r>
      <w:proofErr w:type="spellEnd"/>
      <w:r w:rsidRPr="00BB654C">
        <w:rPr>
          <w:rFonts w:ascii="Times New Roman" w:hAnsi="Times New Roman" w:cs="Times New Roman"/>
          <w:color w:val="000000" w:themeColor="text1"/>
          <w:sz w:val="24"/>
          <w:szCs w:val="24"/>
        </w:rPr>
        <w:t xml:space="preserve"> lights time series, all being geo-referenced to the county geometries from </w:t>
      </w:r>
      <w:proofErr w:type="spellStart"/>
      <w:r w:rsidRPr="00BB654C">
        <w:rPr>
          <w:rFonts w:ascii="Times New Roman" w:hAnsi="Times New Roman" w:cs="Times New Roman"/>
          <w:color w:val="000000" w:themeColor="text1"/>
          <w:sz w:val="24"/>
          <w:szCs w:val="24"/>
        </w:rPr>
        <w:t>DataV.GeoAtlas</w:t>
      </w:r>
      <w:proofErr w:type="spellEnd"/>
      <w:r w:rsidRPr="00BB654C">
        <w:rPr>
          <w:rFonts w:ascii="Times New Roman" w:hAnsi="Times New Roman" w:cs="Times New Roman"/>
          <w:color w:val="000000" w:themeColor="text1"/>
          <w:sz w:val="24"/>
          <w:szCs w:val="24"/>
        </w:rPr>
        <w:t>. Moreover, information on clear-sky observation counts, standardised heat and drought anomalies, contiguity adjacency, and directed elevation-ordered flow connectivity is included into the dataset as a part of the process-related information.</w:t>
      </w:r>
    </w:p>
    <w:p w14:paraId="2D3D9585" w14:textId="453E28ED" w:rsidR="00BB654C" w:rsidRDefault="00BB654C" w:rsidP="00BB654C">
      <w:pPr>
        <w:jc w:val="both"/>
        <w:rPr>
          <w:rFonts w:ascii="Times New Roman" w:hAnsi="Times New Roman" w:cs="Times New Roman"/>
          <w:color w:val="000000" w:themeColor="text1"/>
          <w:sz w:val="24"/>
          <w:szCs w:val="24"/>
        </w:rPr>
      </w:pPr>
      <w:r w:rsidRPr="00BB654C">
        <w:rPr>
          <w:rFonts w:ascii="Times New Roman" w:hAnsi="Times New Roman" w:cs="Times New Roman"/>
          <w:color w:val="000000" w:themeColor="text1"/>
          <w:sz w:val="24"/>
          <w:szCs w:val="24"/>
        </w:rPr>
        <w:lastRenderedPageBreak/>
        <w:t>Before developing the models, the panel data is pre-processed and structured in order to form valid input-target windows preserving the temporal relationship between the twelve-month observation period and the following response period. De-seasonalised thermal and vegetation anomalies, climatic forcing, and static context variables are used for the construction of the state, whereas the three-month mean anomaly is separated as the prediction target in order to prevent information leakage when learning the models. Information on clear-sky observation counts and valid-target masks is preserved in order to facilitate observation density conditioning and loss masking. The dataset is split into the training, validation, and test sets chronologically but not randomly, and an embargo is applied in order to assure that no observation window and target window intersects any split boundary, i.e., all information related to one period is located in one subset. The splitting of the dataset for the experimental study is illustrated in Table 3.</w:t>
      </w:r>
    </w:p>
    <w:p w14:paraId="7CB4F538" w14:textId="56B0171F" w:rsidR="00B31514" w:rsidRPr="009476EE" w:rsidRDefault="00B31514" w:rsidP="00BB654C">
      <w:pPr>
        <w:jc w:val="both"/>
        <w:rPr>
          <w:rFonts w:ascii="Times New Roman" w:hAnsi="Times New Roman" w:cs="Times New Roman"/>
          <w:b/>
          <w:bCs/>
          <w:color w:val="000000" w:themeColor="text1"/>
          <w:sz w:val="24"/>
          <w:szCs w:val="24"/>
        </w:rPr>
      </w:pPr>
      <w:r w:rsidRPr="009476EE">
        <w:rPr>
          <w:rFonts w:ascii="Times New Roman" w:hAnsi="Times New Roman" w:cs="Times New Roman"/>
          <w:b/>
          <w:bCs/>
          <w:color w:val="000000" w:themeColor="text1"/>
          <w:sz w:val="24"/>
          <w:szCs w:val="24"/>
        </w:rPr>
        <w:t>Table 3. Dataset Partitioning for PERSIST</w:t>
      </w:r>
    </w:p>
    <w:tbl>
      <w:tblPr>
        <w:tblStyle w:val="TableGrid"/>
        <w:tblW w:w="0" w:type="auto"/>
        <w:jc w:val="center"/>
        <w:tblLook w:val="04A0" w:firstRow="1" w:lastRow="0" w:firstColumn="1" w:lastColumn="0" w:noHBand="0" w:noVBand="1"/>
      </w:tblPr>
      <w:tblGrid>
        <w:gridCol w:w="2896"/>
        <w:gridCol w:w="1177"/>
        <w:gridCol w:w="3090"/>
        <w:gridCol w:w="997"/>
      </w:tblGrid>
      <w:tr w:rsidR="009476EE" w:rsidRPr="009476EE" w14:paraId="4DF315C5" w14:textId="77777777" w:rsidTr="009476EE">
        <w:trPr>
          <w:jc w:val="center"/>
        </w:trPr>
        <w:tc>
          <w:tcPr>
            <w:tcW w:w="0" w:type="auto"/>
            <w:hideMark/>
          </w:tcPr>
          <w:p w14:paraId="2CFA3526" w14:textId="77777777" w:rsidR="009476EE" w:rsidRPr="009476EE" w:rsidRDefault="009476EE" w:rsidP="009476EE">
            <w:pPr>
              <w:spacing w:before="100" w:beforeAutospacing="1" w:after="100" w:afterAutospacing="1"/>
              <w:jc w:val="center"/>
              <w:rPr>
                <w:rFonts w:ascii="Times New Roman" w:eastAsia="Times New Roman" w:hAnsi="Times New Roman" w:cs="Times New Roman"/>
                <w:b/>
                <w:bCs/>
                <w:sz w:val="24"/>
                <w:szCs w:val="24"/>
                <w:lang w:eastAsia="en-IN"/>
              </w:rPr>
            </w:pPr>
            <w:r w:rsidRPr="009476EE">
              <w:rPr>
                <w:rFonts w:ascii="Times New Roman" w:eastAsia="Times New Roman" w:hAnsi="Times New Roman" w:cs="Times New Roman"/>
                <w:b/>
                <w:bCs/>
                <w:sz w:val="24"/>
                <w:szCs w:val="24"/>
                <w:lang w:eastAsia="en-IN"/>
              </w:rPr>
              <w:t>Dataset Split</w:t>
            </w:r>
          </w:p>
        </w:tc>
        <w:tc>
          <w:tcPr>
            <w:tcW w:w="0" w:type="auto"/>
            <w:hideMark/>
          </w:tcPr>
          <w:p w14:paraId="15D5B02D" w14:textId="77777777" w:rsidR="009476EE" w:rsidRPr="009476EE" w:rsidRDefault="009476EE" w:rsidP="009476EE">
            <w:pPr>
              <w:spacing w:before="100" w:beforeAutospacing="1" w:after="100" w:afterAutospacing="1"/>
              <w:jc w:val="center"/>
              <w:rPr>
                <w:rFonts w:ascii="Times New Roman" w:eastAsia="Times New Roman" w:hAnsi="Times New Roman" w:cs="Times New Roman"/>
                <w:b/>
                <w:bCs/>
                <w:sz w:val="24"/>
                <w:szCs w:val="24"/>
                <w:lang w:eastAsia="en-IN"/>
              </w:rPr>
            </w:pPr>
            <w:r w:rsidRPr="009476EE">
              <w:rPr>
                <w:rFonts w:ascii="Times New Roman" w:eastAsia="Times New Roman" w:hAnsi="Times New Roman" w:cs="Times New Roman"/>
                <w:b/>
                <w:bCs/>
                <w:sz w:val="24"/>
                <w:szCs w:val="24"/>
                <w:lang w:eastAsia="en-IN"/>
              </w:rPr>
              <w:t>Windows</w:t>
            </w:r>
          </w:p>
        </w:tc>
        <w:tc>
          <w:tcPr>
            <w:tcW w:w="0" w:type="auto"/>
            <w:hideMark/>
          </w:tcPr>
          <w:p w14:paraId="41D458C2" w14:textId="77777777" w:rsidR="009476EE" w:rsidRPr="009476EE" w:rsidRDefault="009476EE" w:rsidP="009476EE">
            <w:pPr>
              <w:spacing w:before="100" w:beforeAutospacing="1" w:after="100" w:afterAutospacing="1"/>
              <w:jc w:val="center"/>
              <w:rPr>
                <w:rFonts w:ascii="Times New Roman" w:eastAsia="Times New Roman" w:hAnsi="Times New Roman" w:cs="Times New Roman"/>
                <w:b/>
                <w:bCs/>
                <w:sz w:val="24"/>
                <w:szCs w:val="24"/>
                <w:lang w:eastAsia="en-IN"/>
              </w:rPr>
            </w:pPr>
            <w:r w:rsidRPr="009476EE">
              <w:rPr>
                <w:rFonts w:ascii="Times New Roman" w:eastAsia="Times New Roman" w:hAnsi="Times New Roman" w:cs="Times New Roman"/>
                <w:b/>
                <w:bCs/>
                <w:sz w:val="24"/>
                <w:szCs w:val="24"/>
                <w:lang w:eastAsia="en-IN"/>
              </w:rPr>
              <w:t>Samples (County-Windows)</w:t>
            </w:r>
          </w:p>
        </w:tc>
        <w:tc>
          <w:tcPr>
            <w:tcW w:w="0" w:type="auto"/>
            <w:hideMark/>
          </w:tcPr>
          <w:p w14:paraId="0A5DDCFA" w14:textId="77777777" w:rsidR="009476EE" w:rsidRPr="009476EE" w:rsidRDefault="009476EE" w:rsidP="009476EE">
            <w:pPr>
              <w:spacing w:before="100" w:beforeAutospacing="1" w:after="100" w:afterAutospacing="1"/>
              <w:jc w:val="center"/>
              <w:rPr>
                <w:rFonts w:ascii="Times New Roman" w:eastAsia="Times New Roman" w:hAnsi="Times New Roman" w:cs="Times New Roman"/>
                <w:b/>
                <w:bCs/>
                <w:sz w:val="24"/>
                <w:szCs w:val="24"/>
                <w:lang w:eastAsia="en-IN"/>
              </w:rPr>
            </w:pPr>
            <w:r w:rsidRPr="009476EE">
              <w:rPr>
                <w:rFonts w:ascii="Times New Roman" w:eastAsia="Times New Roman" w:hAnsi="Times New Roman" w:cs="Times New Roman"/>
                <w:b/>
                <w:bCs/>
                <w:sz w:val="24"/>
                <w:szCs w:val="24"/>
                <w:lang w:eastAsia="en-IN"/>
              </w:rPr>
              <w:t>Split %</w:t>
            </w:r>
          </w:p>
        </w:tc>
      </w:tr>
      <w:tr w:rsidR="009476EE" w:rsidRPr="009476EE" w14:paraId="065CD12C" w14:textId="77777777" w:rsidTr="009476EE">
        <w:trPr>
          <w:jc w:val="center"/>
        </w:trPr>
        <w:tc>
          <w:tcPr>
            <w:tcW w:w="0" w:type="auto"/>
            <w:hideMark/>
          </w:tcPr>
          <w:p w14:paraId="01971431"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Training Set (2000–2014)</w:t>
            </w:r>
          </w:p>
        </w:tc>
        <w:tc>
          <w:tcPr>
            <w:tcW w:w="0" w:type="auto"/>
            <w:hideMark/>
          </w:tcPr>
          <w:p w14:paraId="1BEE4550"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166</w:t>
            </w:r>
          </w:p>
        </w:tc>
        <w:tc>
          <w:tcPr>
            <w:tcW w:w="0" w:type="auto"/>
            <w:hideMark/>
          </w:tcPr>
          <w:p w14:paraId="1EE5D9AB"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176,894</w:t>
            </w:r>
          </w:p>
        </w:tc>
        <w:tc>
          <w:tcPr>
            <w:tcW w:w="0" w:type="auto"/>
            <w:hideMark/>
          </w:tcPr>
          <w:p w14:paraId="72DC3EA9"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70.93%</w:t>
            </w:r>
          </w:p>
        </w:tc>
      </w:tr>
      <w:tr w:rsidR="009476EE" w:rsidRPr="009476EE" w14:paraId="691C9FE0" w14:textId="77777777" w:rsidTr="009476EE">
        <w:trPr>
          <w:jc w:val="center"/>
        </w:trPr>
        <w:tc>
          <w:tcPr>
            <w:tcW w:w="0" w:type="auto"/>
            <w:hideMark/>
          </w:tcPr>
          <w:p w14:paraId="31D132EB"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Validation Set (2015–2017)</w:t>
            </w:r>
          </w:p>
        </w:tc>
        <w:tc>
          <w:tcPr>
            <w:tcW w:w="0" w:type="auto"/>
            <w:hideMark/>
          </w:tcPr>
          <w:p w14:paraId="419B221C"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34</w:t>
            </w:r>
          </w:p>
        </w:tc>
        <w:tc>
          <w:tcPr>
            <w:tcW w:w="0" w:type="auto"/>
            <w:hideMark/>
          </w:tcPr>
          <w:p w14:paraId="7778639C"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36,297</w:t>
            </w:r>
          </w:p>
        </w:tc>
        <w:tc>
          <w:tcPr>
            <w:tcW w:w="0" w:type="auto"/>
            <w:hideMark/>
          </w:tcPr>
          <w:p w14:paraId="609256E6"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14.55%</w:t>
            </w:r>
          </w:p>
        </w:tc>
      </w:tr>
      <w:tr w:rsidR="009476EE" w:rsidRPr="009476EE" w14:paraId="79A260FF" w14:textId="77777777" w:rsidTr="009476EE">
        <w:trPr>
          <w:jc w:val="center"/>
        </w:trPr>
        <w:tc>
          <w:tcPr>
            <w:tcW w:w="0" w:type="auto"/>
            <w:hideMark/>
          </w:tcPr>
          <w:p w14:paraId="0A2E4AEA"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Testing Set (2018–2020)</w:t>
            </w:r>
          </w:p>
        </w:tc>
        <w:tc>
          <w:tcPr>
            <w:tcW w:w="0" w:type="auto"/>
            <w:hideMark/>
          </w:tcPr>
          <w:p w14:paraId="2CFCB41F"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34</w:t>
            </w:r>
          </w:p>
        </w:tc>
        <w:tc>
          <w:tcPr>
            <w:tcW w:w="0" w:type="auto"/>
            <w:hideMark/>
          </w:tcPr>
          <w:p w14:paraId="7596DD2E"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36,210</w:t>
            </w:r>
          </w:p>
        </w:tc>
        <w:tc>
          <w:tcPr>
            <w:tcW w:w="0" w:type="auto"/>
            <w:hideMark/>
          </w:tcPr>
          <w:p w14:paraId="37B01856"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14.52%</w:t>
            </w:r>
          </w:p>
        </w:tc>
      </w:tr>
      <w:tr w:rsidR="009476EE" w:rsidRPr="009476EE" w14:paraId="6B8E5AEC" w14:textId="77777777" w:rsidTr="009476EE">
        <w:trPr>
          <w:jc w:val="center"/>
        </w:trPr>
        <w:tc>
          <w:tcPr>
            <w:tcW w:w="0" w:type="auto"/>
            <w:hideMark/>
          </w:tcPr>
          <w:p w14:paraId="65701AF5"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Total Samples</w:t>
            </w:r>
          </w:p>
        </w:tc>
        <w:tc>
          <w:tcPr>
            <w:tcW w:w="0" w:type="auto"/>
            <w:hideMark/>
          </w:tcPr>
          <w:p w14:paraId="18C720D1"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234</w:t>
            </w:r>
          </w:p>
        </w:tc>
        <w:tc>
          <w:tcPr>
            <w:tcW w:w="0" w:type="auto"/>
            <w:hideMark/>
          </w:tcPr>
          <w:p w14:paraId="2A42B669"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249,401</w:t>
            </w:r>
          </w:p>
        </w:tc>
        <w:tc>
          <w:tcPr>
            <w:tcW w:w="0" w:type="auto"/>
            <w:hideMark/>
          </w:tcPr>
          <w:p w14:paraId="5C5CB4BB" w14:textId="77777777" w:rsidR="009476EE" w:rsidRPr="009476EE" w:rsidRDefault="009476EE" w:rsidP="009476EE">
            <w:pPr>
              <w:spacing w:before="100" w:beforeAutospacing="1" w:after="100" w:afterAutospacing="1"/>
              <w:rPr>
                <w:rFonts w:ascii="Times New Roman" w:eastAsia="Times New Roman" w:hAnsi="Times New Roman" w:cs="Times New Roman"/>
                <w:sz w:val="24"/>
                <w:szCs w:val="24"/>
                <w:lang w:eastAsia="en-IN"/>
              </w:rPr>
            </w:pPr>
            <w:r w:rsidRPr="009476EE">
              <w:rPr>
                <w:rFonts w:ascii="Times New Roman" w:eastAsia="Times New Roman" w:hAnsi="Times New Roman" w:cs="Times New Roman"/>
                <w:sz w:val="24"/>
                <w:szCs w:val="24"/>
                <w:lang w:eastAsia="en-IN"/>
              </w:rPr>
              <w:t>100%</w:t>
            </w:r>
          </w:p>
        </w:tc>
      </w:tr>
    </w:tbl>
    <w:p w14:paraId="701A0DE4" w14:textId="77777777" w:rsidR="009476EE" w:rsidRDefault="009476EE" w:rsidP="00BB654C">
      <w:pPr>
        <w:jc w:val="both"/>
        <w:rPr>
          <w:rFonts w:ascii="Times New Roman" w:hAnsi="Times New Roman" w:cs="Times New Roman"/>
          <w:color w:val="000000" w:themeColor="text1"/>
          <w:sz w:val="24"/>
          <w:szCs w:val="24"/>
        </w:rPr>
      </w:pPr>
    </w:p>
    <w:p w14:paraId="7F383CC2" w14:textId="1093BEF2" w:rsidR="00D4050A" w:rsidRDefault="009476EE" w:rsidP="009476EE">
      <w:pPr>
        <w:jc w:val="both"/>
        <w:rPr>
          <w:rFonts w:ascii="Times New Roman" w:hAnsi="Times New Roman" w:cs="Times New Roman"/>
          <w:color w:val="000000" w:themeColor="text1"/>
          <w:sz w:val="24"/>
          <w:szCs w:val="24"/>
        </w:rPr>
      </w:pPr>
      <w:r w:rsidRPr="009476EE">
        <w:rPr>
          <w:rFonts w:ascii="Times New Roman" w:hAnsi="Times New Roman" w:cs="Times New Roman"/>
          <w:color w:val="000000" w:themeColor="text1"/>
          <w:sz w:val="24"/>
          <w:szCs w:val="24"/>
        </w:rPr>
        <w:t xml:space="preserve">The training subset is used for the purpose of parameter and coefficient-head optimisation during the framework development. The validation subset is used for the purpose of monitoring the learning process, selecting the weights and applying early stopping in such way that it will not involve the final test data in parameter optimisation. The independent test subset is used for the evaluation of the framework ability to make seasonal anomalies predictions, temporal skill recovery, controlling the spatial residuals structure and robustness under disturbances. The same subsets are used both for the proposed framework and its ablation variations, and additionally for all retrained baselines for the purpose of making a fair comparison. In addition to the sequential window dataset, the independent horizon-sweep dataset comprising 206,475 counterfactual evaluations at six alternative aggregation horizons is used to set the predictability ceiling for the task under matched conditions. The horizon-sweep dataset comprises trivial-reference skill, variance share between counties and linear autoregressive ceiling estimates for each candidate horizon, thus allowing to audit the task definition without any need of any trained deep model. The sweep evaluation is done through the re-aggregation of the target and re-applying the embargo to each horizon. Consequently, the county-level panel provides sequential ecological observations, physiography and lithology information, disturbances information and validity of the </w:t>
      </w:r>
      <w:proofErr w:type="gramStart"/>
      <w:r w:rsidRPr="009476EE">
        <w:rPr>
          <w:rFonts w:ascii="Times New Roman" w:hAnsi="Times New Roman" w:cs="Times New Roman"/>
          <w:color w:val="000000" w:themeColor="text1"/>
          <w:sz w:val="24"/>
          <w:szCs w:val="24"/>
        </w:rPr>
        <w:t>observations</w:t>
      </w:r>
      <w:proofErr w:type="gramEnd"/>
      <w:r w:rsidRPr="009476EE">
        <w:rPr>
          <w:rFonts w:ascii="Times New Roman" w:hAnsi="Times New Roman" w:cs="Times New Roman"/>
          <w:color w:val="000000" w:themeColor="text1"/>
          <w:sz w:val="24"/>
          <w:szCs w:val="24"/>
        </w:rPr>
        <w:t xml:space="preserve"> information required for the PERSIST framework development. The window dataset allows to have structured spatiotemporal learning and multi-seed ensembling, while the independent horizon-sweep dataset is used for the purposes of predictability auditing and the corresponding pooled-versus-temporal skill trade-off analysis. Overall, the provided datasets allow to evaluate the ability of the proposed framework to learn how persistently does a county carry its state, how strong response it shows to the forcing, how much the seasonal signal returns and how much residual variation is actually predictable.</w:t>
      </w:r>
    </w:p>
    <w:p w14:paraId="0F111273" w14:textId="77777777" w:rsidR="00CC499F" w:rsidRDefault="00CC499F" w:rsidP="009476EE">
      <w:pPr>
        <w:jc w:val="both"/>
        <w:rPr>
          <w:rFonts w:ascii="Times New Roman" w:hAnsi="Times New Roman" w:cs="Times New Roman"/>
          <w:color w:val="000000" w:themeColor="text1"/>
          <w:sz w:val="24"/>
          <w:szCs w:val="24"/>
        </w:rPr>
      </w:pPr>
    </w:p>
    <w:sectPr w:rsidR="00CC4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452344"/>
    <w:multiLevelType w:val="hybridMultilevel"/>
    <w:tmpl w:val="383E27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191"/>
    <w:rsid w:val="000A6FFB"/>
    <w:rsid w:val="000F1827"/>
    <w:rsid w:val="001E1DF5"/>
    <w:rsid w:val="002E5191"/>
    <w:rsid w:val="004A6608"/>
    <w:rsid w:val="00534B20"/>
    <w:rsid w:val="00655872"/>
    <w:rsid w:val="006F40E2"/>
    <w:rsid w:val="00883D0B"/>
    <w:rsid w:val="00886A9B"/>
    <w:rsid w:val="008B5D3F"/>
    <w:rsid w:val="009476EE"/>
    <w:rsid w:val="009E37ED"/>
    <w:rsid w:val="00A300ED"/>
    <w:rsid w:val="00A84832"/>
    <w:rsid w:val="00B31514"/>
    <w:rsid w:val="00B61F39"/>
    <w:rsid w:val="00BB654C"/>
    <w:rsid w:val="00C0625A"/>
    <w:rsid w:val="00C70A1C"/>
    <w:rsid w:val="00CC499F"/>
    <w:rsid w:val="00D4050A"/>
    <w:rsid w:val="00D95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A93AB"/>
  <w15:chartTrackingRefBased/>
  <w15:docId w15:val="{CEABDD03-D4C1-4434-8287-A3D14C842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E5191"/>
    <w:rPr>
      <w:b/>
      <w:bCs/>
    </w:rPr>
  </w:style>
  <w:style w:type="paragraph" w:styleId="ListParagraph">
    <w:name w:val="List Paragraph"/>
    <w:basedOn w:val="Normal"/>
    <w:uiPriority w:val="34"/>
    <w:qFormat/>
    <w:rsid w:val="000F1827"/>
    <w:pPr>
      <w:ind w:left="720"/>
      <w:contextualSpacing/>
    </w:pPr>
  </w:style>
  <w:style w:type="paragraph" w:customStyle="1" w:styleId="w6asjqtextbase">
    <w:name w:val="w6asjq_textbase"/>
    <w:basedOn w:val="Normal"/>
    <w:rsid w:val="000A6FFB"/>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0A6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6asjqtextbase1">
    <w:name w:val="w6asjq_textbase1"/>
    <w:basedOn w:val="DefaultParagraphFont"/>
    <w:rsid w:val="009476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994715">
      <w:bodyDiv w:val="1"/>
      <w:marLeft w:val="0"/>
      <w:marRight w:val="0"/>
      <w:marTop w:val="0"/>
      <w:marBottom w:val="0"/>
      <w:divBdr>
        <w:top w:val="none" w:sz="0" w:space="0" w:color="auto"/>
        <w:left w:val="none" w:sz="0" w:space="0" w:color="auto"/>
        <w:bottom w:val="none" w:sz="0" w:space="0" w:color="auto"/>
        <w:right w:val="none" w:sz="0" w:space="0" w:color="auto"/>
      </w:divBdr>
    </w:div>
    <w:div w:id="568420222">
      <w:bodyDiv w:val="1"/>
      <w:marLeft w:val="0"/>
      <w:marRight w:val="0"/>
      <w:marTop w:val="0"/>
      <w:marBottom w:val="0"/>
      <w:divBdr>
        <w:top w:val="none" w:sz="0" w:space="0" w:color="auto"/>
        <w:left w:val="none" w:sz="0" w:space="0" w:color="auto"/>
        <w:bottom w:val="none" w:sz="0" w:space="0" w:color="auto"/>
        <w:right w:val="none" w:sz="0" w:space="0" w:color="auto"/>
      </w:divBdr>
    </w:div>
    <w:div w:id="713575935">
      <w:bodyDiv w:val="1"/>
      <w:marLeft w:val="0"/>
      <w:marRight w:val="0"/>
      <w:marTop w:val="0"/>
      <w:marBottom w:val="0"/>
      <w:divBdr>
        <w:top w:val="none" w:sz="0" w:space="0" w:color="auto"/>
        <w:left w:val="none" w:sz="0" w:space="0" w:color="auto"/>
        <w:bottom w:val="none" w:sz="0" w:space="0" w:color="auto"/>
        <w:right w:val="none" w:sz="0" w:space="0" w:color="auto"/>
      </w:divBdr>
    </w:div>
    <w:div w:id="1907909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12</Pages>
  <Words>6330</Words>
  <Characters>36084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SIDDARTH</dc:creator>
  <cp:keywords/>
  <dc:description/>
  <cp:lastModifiedBy>HARI SIDDARTH</cp:lastModifiedBy>
  <cp:revision>15</cp:revision>
  <dcterms:created xsi:type="dcterms:W3CDTF">2026-09-18T04:11:00Z</dcterms:created>
  <dcterms:modified xsi:type="dcterms:W3CDTF">2026-09-18T13:32:00Z</dcterms:modified>
</cp:coreProperties>
</file>