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STRICT SCI-INDEXED JOURNAL PEER-REVIEW COMMENTS</w:t>
      </w:r>
    </w:p>
    <w:p>
      <w:pPr>
        <w:jc w:val="center"/>
      </w:pPr>
      <w:r>
        <w:rPr>
          <w:b/>
          <w:sz w:val="23"/>
        </w:rPr>
        <w:t>PRISM-GAN: A Toroidal, Palette-Conditioned Generative Adversarial Network for Tileable Apparel Pattern Synthesis and Garment-Level Visualization</w:t>
      </w:r>
    </w:p>
    <w:p>
      <w:pPr>
        <w:jc w:val="center"/>
      </w:pPr>
      <w:r>
        <w:rPr>
          <w:i/>
        </w:rPr>
        <w:t>Manuscript-focused editorial and technical assessment</w:t>
      </w:r>
    </w:p>
    <w:p>
      <w:pPr>
        <w:pStyle w:val="Heading1"/>
      </w:pPr>
      <w:r>
        <w:t>Editorial Recommendation</w:t>
      </w:r>
    </w:p>
    <w:p>
      <w:r>
        <w:rPr>
          <w:b/>
        </w:rPr>
        <w:t>Recommendation: MAJOR REVISION</w:t>
      </w:r>
    </w:p>
    <w:p>
      <w:r>
        <w:t>The manuscript contains an interesting and potentially publishable research direction: combining periodic/toroidal synthesis, explicit palette conditioning, novelty control, and garment-context rendering for apparel pattern generation. However, the current version contains several methodological and internal-consistency problems that materially affect the validity, reproducibility, and interpretation of the reported results. The most serious concern is that the test set is used repeatedly for novelty-threshold calibration, checkpoint selection/evaluation monitoring, and final assessment. Other major concerns include contradictory ablation labels, inconsistent claims about the number of evaluation metrics, unsupported statements about 'exact' tileability and printability, and incomplete evidence for comparison with state-of-the-art methods.</w:t>
      </w:r>
    </w:p>
    <w:p>
      <w:pPr>
        <w:pStyle w:val="Heading1"/>
      </w:pPr>
      <w:r>
        <w:t>Critical Issues — Must Be Resolved</w:t>
      </w:r>
    </w:p>
    <w:p>
      <w:pPr>
        <w:pStyle w:val="Heading2"/>
      </w:pPr>
      <w:r>
        <w:t>1. Test-set leakage through novelty-threshold calibration</w:t>
      </w:r>
    </w:p>
    <w:p>
      <w:r>
        <w:rPr>
          <w:b/>
        </w:rPr>
        <w:t xml:space="preserve">Problem: </w:t>
      </w:r>
      <w:r>
        <w:t>Section 3.1/3.2 and Table 6 state that the novelty threshold is the 5th percentile of test-to-train nearest-neighbour distance. The test set is therefore used to define a training loss threshold before the final evaluation. This compromises the independence of the test set.</w:t>
      </w:r>
    </w:p>
    <w:p>
      <w:r>
        <w:rPr>
          <w:b/>
        </w:rPr>
        <w:t xml:space="preserve">Required correction: </w:t>
      </w:r>
      <w:r>
        <w:t>Create a validation/development split within the training garments and calibrate the novelty threshold exclusively from training/validation data. The final test set must remain untouched until the final evaluation.</w:t>
      </w:r>
    </w:p>
    <w:p>
      <w:pPr>
        <w:pStyle w:val="Heading2"/>
      </w:pPr>
      <w:r>
        <w:t>2. Test-set leakage through checkpoint selection</w:t>
      </w:r>
    </w:p>
    <w:p>
      <w:r>
        <w:rPr>
          <w:b/>
        </w:rPr>
        <w:t xml:space="preserve">Problem: </w:t>
      </w:r>
      <w:r>
        <w:t>The manuscript states that the final evaluation uses the 'best checkpoint by KID' and that training evaluations are performed repeatedly. Because KID is calculated against the real reference set, repeated test-set monitoring and selecting the best checkpoint effectively uses the test data for model selection.</w:t>
      </w:r>
    </w:p>
    <w:p>
      <w:r>
        <w:rPr>
          <w:b/>
        </w:rPr>
        <w:t xml:space="preserve">Required correction: </w:t>
      </w:r>
      <w:r>
        <w:t>Use a validation set for checkpoint selection and hyperparameter/model selection. Evaluate the final selected checkpoint on the test set exactly once, or explicitly provide a separate validation protocol.</w:t>
      </w:r>
    </w:p>
    <w:p>
      <w:pPr>
        <w:pStyle w:val="Heading2"/>
      </w:pPr>
      <w:r>
        <w:t>3. The manuscript explicitly says there is no validation set</w:t>
      </w:r>
    </w:p>
    <w:p>
      <w:r>
        <w:rPr>
          <w:b/>
        </w:rPr>
        <w:t xml:space="preserve">Problem: </w:t>
      </w:r>
      <w:r>
        <w:t>Section 3.1 states that no validation subset is created because the test set is small. This is not an adequate justification when the test set is then used for threshold calibration and checkpoint selection.</w:t>
      </w:r>
    </w:p>
    <w:p>
      <w:r>
        <w:rPr>
          <w:b/>
        </w:rPr>
        <w:t xml:space="preserve">Required correction: </w:t>
      </w:r>
      <w:r>
        <w:t>Introduce a development/validation split at the garment level. If the authors retain the current two-way split, all test-based tuning and checkpoint selection must be removed.</w:t>
      </w:r>
    </w:p>
    <w:p>
      <w:pPr>
        <w:pStyle w:val="Heading2"/>
      </w:pPr>
      <w:r>
        <w:t>4. Novelty threshold is circularly tied to the test set</w:t>
      </w:r>
    </w:p>
    <w:p>
      <w:r>
        <w:rPr>
          <w:b/>
        </w:rPr>
        <w:t xml:space="preserve">Problem: </w:t>
      </w:r>
      <w:r>
        <w:t>The novelty hinge is calibrated so that unseen real test fabric produces approximately 5% memorisation. The same test set is then used to evaluate the generated samples.</w:t>
      </w:r>
    </w:p>
    <w:p>
      <w:r>
        <w:rPr>
          <w:b/>
        </w:rPr>
        <w:t xml:space="preserve">Required correction: </w:t>
      </w:r>
      <w:r>
        <w:t>Define the threshold using only training/validation data, and explain why the chosen percentile is appropriate. Report sensitivity to the threshold rather than presenting one threshold as intrinsically correct.</w:t>
      </w:r>
    </w:p>
    <w:p>
      <w:pPr>
        <w:pStyle w:val="Heading2"/>
      </w:pPr>
      <w:r>
        <w:t>5. 'Exact tileability' is stronger than the evidence provided</w:t>
      </w:r>
    </w:p>
    <w:p>
      <w:r>
        <w:rPr>
          <w:b/>
        </w:rPr>
        <w:t xml:space="preserve">Problem: </w:t>
      </w:r>
      <w:r>
        <w:t>The manuscript repeatedly states that outputs are 'exactly periodic', 'perfectly tileable', and that boundaries are indistinguishable by construction. Circular padding and periodic Fourier coordinates support periodic boundary handling, but the reported seam ratio is an empirical metric and is not itself proof of exact pixel-level equality or production-ready seamlessness.</w:t>
      </w:r>
    </w:p>
    <w:p>
      <w:r>
        <w:rPr>
          <w:b/>
        </w:rPr>
        <w:t xml:space="preserve">Required correction: </w:t>
      </w:r>
      <w:r>
        <w:t>Define mathematically what 'exactly periodic' means in the discrete image representation. Distinguish periodic coordinate extension from empirical seam continuity. Provide a direct numerical boundary-equality test, such as maximum/mean boundary discrepancy, in addition to the seam ratio.</w:t>
      </w:r>
    </w:p>
    <w:p>
      <w:pPr>
        <w:pStyle w:val="Heading2"/>
      </w:pPr>
      <w:r>
        <w:t>6. Real-image seam ratio is not a valid 'printability' reference</w:t>
      </w:r>
    </w:p>
    <w:p>
      <w:r>
        <w:rPr>
          <w:b/>
        </w:rPr>
        <w:t xml:space="preserve">Problem: </w:t>
      </w:r>
      <w:r>
        <w:t>The manuscript compares generated seam ratio 1.0338 with real cropped photographs at 3.3729 and concludes that generated outputs are 'even more printable than the actual input images'. Real photographs are not expected to be periodic tiles, so this comparison does not establish printability.</w:t>
      </w:r>
    </w:p>
    <w:p>
      <w:r>
        <w:rPr>
          <w:b/>
        </w:rPr>
        <w:t xml:space="preserve">Required correction: </w:t>
      </w:r>
      <w:r>
        <w:t>Remove the 'more printable than real data' conclusion. Use the real-image value only as a descriptive non-periodic reference, and validate actual printability through repeated-tile inspection, manufacturing constraints, or physical/digital textile-print simulation.</w:t>
      </w:r>
    </w:p>
    <w:p>
      <w:pPr>
        <w:pStyle w:val="Heading1"/>
      </w:pPr>
      <w:r>
        <w:t>Major Methodological Comments</w:t>
      </w:r>
    </w:p>
    <w:p>
      <w:pPr>
        <w:pStyle w:val="Heading2"/>
      </w:pPr>
      <w:r>
        <w:t>7. Dataset construction numbers need a complete audit</w:t>
      </w:r>
    </w:p>
    <w:p>
      <w:r>
        <w:rPr>
          <w:b/>
        </w:rPr>
        <w:t xml:space="preserve">Problem: </w:t>
      </w:r>
      <w:r>
        <w:t>The manuscript reports 8,122 candidate patches, removal of 3,388 patches, and 4,734 retained patches, which is arithmetically consistent. However, the relationship among 12,701 annotated images, garment records, garment IDs, 4,162 records supporting 128-pixel windows, and the final 1,458 train/test garments is not fully transparent.</w:t>
      </w:r>
    </w:p>
    <w:p>
      <w:r>
        <w:rPr>
          <w:b/>
        </w:rPr>
        <w:t xml:space="preserve">Required correction: </w:t>
      </w:r>
      <w:r>
        <w:t>Add a complete flow diagram/table showing image count → garment records → candidate windows → filtered windows → garment-level split → near-duplicate reassignment → final train/test counts. Define exactly what constitutes a 'garment item' and a 'garment ID'.</w:t>
      </w:r>
    </w:p>
    <w:p>
      <w:pPr>
        <w:pStyle w:val="Heading2"/>
      </w:pPr>
      <w:r>
        <w:t>8. Near-duplicate filtering after the split needs a stricter protocol</w:t>
      </w:r>
    </w:p>
    <w:p>
      <w:r>
        <w:rPr>
          <w:b/>
        </w:rPr>
        <w:t xml:space="preserve">Problem: </w:t>
      </w:r>
      <w:r>
        <w:t>Three test garments are reassigned to training after the test set has already been defined. This changes the originally stated 80/20 split and potentially changes class proportions.</w:t>
      </w:r>
    </w:p>
    <w:p>
      <w:r>
        <w:rPr>
          <w:b/>
        </w:rPr>
        <w:t xml:space="preserve">Required correction: </w:t>
      </w:r>
      <w:r>
        <w:t>State the split/reassignment order precisely and report final counts after every operation. Ideally perform near-duplicate detection before freezing the final test set, then never move items between final partitions.</w:t>
      </w:r>
    </w:p>
    <w:p>
      <w:pPr>
        <w:pStyle w:val="Heading2"/>
      </w:pPr>
      <w:r>
        <w:t>9. CLIP leakage audit is not sufficiently reproducible</w:t>
      </w:r>
    </w:p>
    <w:p>
      <w:r>
        <w:rPr>
          <w:b/>
        </w:rPr>
        <w:t xml:space="preserve">Problem: </w:t>
      </w:r>
      <w:r>
        <w:t>The manuscript uses CLIP similarity with a threshold of 0.98, selected by visual examination of similarity bands. It does not report the number of candidate pairs examined, the distribution of similarities, false-positive/false-negative rates for duplicate detection, or why 0.98 generalizes.</w:t>
      </w:r>
    </w:p>
    <w:p>
      <w:r>
        <w:rPr>
          <w:b/>
        </w:rPr>
        <w:t xml:space="preserve">Required correction: </w:t>
      </w:r>
      <w:r>
        <w:t>Provide a reproducible duplicate-detection protocol, including the encoder version, preprocessing, comparison unit, threshold-selection procedure, audit sample size, and final number of removed/reassigned items.</w:t>
      </w:r>
    </w:p>
    <w:p>
      <w:pPr>
        <w:pStyle w:val="Heading2"/>
      </w:pPr>
      <w:r>
        <w:t>10. Graphic-print filter has limited recall</w:t>
      </w:r>
    </w:p>
    <w:p>
      <w:r>
        <w:rPr>
          <w:b/>
        </w:rPr>
        <w:t xml:space="preserve">Problem: </w:t>
      </w:r>
      <w:r>
        <w:t>The audited CLIP filter reports precision 0.900 but recall only 0.648. Therefore, a substantial fraction of placed/repeat graphics may be misclassified and retained or repeat graphics may be removed.</w:t>
      </w:r>
    </w:p>
    <w:p>
      <w:r>
        <w:rPr>
          <w:b/>
        </w:rPr>
        <w:t xml:space="preserve">Required correction: </w:t>
      </w:r>
      <w:r>
        <w:t>Quantify the resulting label/filter uncertainty and discuss its effect on the learned distribution. Consider a stronger human audit or a manually verified evaluation subset.</w:t>
      </w:r>
    </w:p>
    <w:p>
      <w:pPr>
        <w:pStyle w:val="Heading2"/>
      </w:pPr>
      <w:r>
        <w:t>11. The paper mixes garment-level and patch-level independence</w:t>
      </w:r>
    </w:p>
    <w:p>
      <w:r>
        <w:rPr>
          <w:b/>
        </w:rPr>
        <w:t xml:space="preserve">Problem: </w:t>
      </w:r>
      <w:r>
        <w:t>Splitting is performed by garment identity, which is appropriate for avoiding multiple views of the same garment across partitions. However, multiple patches can originate from the same garment, and the manuscript later treats 3,781 patches as a reference distribution.</w:t>
      </w:r>
    </w:p>
    <w:p>
      <w:r>
        <w:rPr>
          <w:b/>
        </w:rPr>
        <w:t xml:space="preserve">Required correction: </w:t>
      </w:r>
      <w:r>
        <w:t>Make clear that the statistical unit for leakage control is the garment, while the generated/evaluation sample unit is the patch. Discuss the dependence among patches from the same garment and avoid treating all patches as fully independent observations.</w:t>
      </w:r>
    </w:p>
    <w:p>
      <w:pPr>
        <w:pStyle w:val="Heading2"/>
      </w:pPr>
      <w:r>
        <w:t>12. No external validation</w:t>
      </w:r>
    </w:p>
    <w:p>
      <w:r>
        <w:rPr>
          <w:b/>
        </w:rPr>
        <w:t xml:space="preserve">Problem: </w:t>
      </w:r>
      <w:r>
        <w:t>The model is evaluated only on a held-out subset of DeepFashion-MultiModal. This supports within-dataset garment-level generalization but not cross-dataset or cross-source generalization.</w:t>
      </w:r>
    </w:p>
    <w:p>
      <w:r>
        <w:rPr>
          <w:b/>
        </w:rPr>
        <w:t xml:space="preserve">Required correction: </w:t>
      </w:r>
      <w:r>
        <w:t>Restrict generalization claims to unseen garments from the same dataset. If possible, add an external textile/apparel pattern dataset or a manually curated external test set.</w:t>
      </w:r>
    </w:p>
    <w:p>
      <w:pPr>
        <w:pStyle w:val="Heading2"/>
      </w:pPr>
      <w:r>
        <w:t>13. Baseline comparison is not fully fair</w:t>
      </w:r>
    </w:p>
    <w:p>
      <w:r>
        <w:rPr>
          <w:b/>
        </w:rPr>
        <w:t xml:space="preserve">Problem: </w:t>
      </w:r>
      <w:r>
        <w:t>The manuscript states that all baselines use the same conditioning approach, but the baselines are described as conventional generative models while PRISM-GAN has explicit symmetry, palette, fabric, novelty, and garment-context mechanisms. It is unclear how these baselines can accept or exploit the same 38-dimensional conditioning vector.</w:t>
      </w:r>
    </w:p>
    <w:p>
      <w:r>
        <w:rPr>
          <w:b/>
        </w:rPr>
        <w:t xml:space="preserve">Required correction: </w:t>
      </w:r>
      <w:r>
        <w:t>Provide the exact baseline architectures, conditioning mechanism, hyperparameters, number of parameters, training schedule, and whether each baseline receives class, fabric, palette, and symmetry inputs. If symmetry labels are unavailable for real images, explain exactly how baselines are conditioned.</w:t>
      </w:r>
    </w:p>
    <w:p>
      <w:pPr>
        <w:pStyle w:val="Heading2"/>
      </w:pPr>
      <w:r>
        <w:t>14. 'State-of-the-art' claim is too strong</w:t>
      </w:r>
    </w:p>
    <w:p>
      <w:r>
        <w:rPr>
          <w:b/>
        </w:rPr>
        <w:t xml:space="preserve">Problem: </w:t>
      </w:r>
      <w:r>
        <w:t>Only three comparison models are included: StyleGAN2-ADA, Diffusion-GAN, and BigGAN with DiffAugment. This is not sufficient to establish a broad state-of-the-art claim for modern image generation, especially in 2026.</w:t>
      </w:r>
    </w:p>
    <w:p>
      <w:r>
        <w:rPr>
          <w:b/>
        </w:rPr>
        <w:t xml:space="preserve">Required correction: </w:t>
      </w:r>
      <w:r>
        <w:t>Use 'selected generative baselines' unless the benchmark is expanded substantially. Include strong contemporary conditional image-generation baselines where technically comparable, or clearly delimit the comparison scope.</w:t>
      </w:r>
    </w:p>
    <w:p>
      <w:pPr>
        <w:pStyle w:val="Heading2"/>
      </w:pPr>
      <w:r>
        <w:t>15. Baseline training equivalence is not established</w:t>
      </w:r>
    </w:p>
    <w:p>
      <w:r>
        <w:rPr>
          <w:b/>
        </w:rPr>
        <w:t xml:space="preserve">Problem: </w:t>
      </w:r>
      <w:r>
        <w:t>The claim that all methods are trained with the same 755.2k image budget does not establish fairness because different architectures can require different numbers of discriminator/generator updates, augmentation schedules, EMA procedures, and optimization settings.</w:t>
      </w:r>
    </w:p>
    <w:p>
      <w:r>
        <w:rPr>
          <w:b/>
        </w:rPr>
        <w:t xml:space="preserve">Required correction: </w:t>
      </w:r>
      <w:r>
        <w:t>Report all training details for every baseline, including optimizer, learning rate, regularization, augmentation, EMA, parameter count, update ratio, batch size, and checkpoint-selection rule.</w:t>
      </w:r>
    </w:p>
    <w:p>
      <w:pPr>
        <w:pStyle w:val="Heading2"/>
      </w:pPr>
      <w:r>
        <w:t>16. No repeated-seed uncertainty</w:t>
      </w:r>
    </w:p>
    <w:p>
      <w:r>
        <w:rPr>
          <w:b/>
        </w:rPr>
        <w:t xml:space="preserve">Problem: </w:t>
      </w:r>
      <w:r>
        <w:t>The entire experimental setup emphasizes random seed 42. A single seed is weak evidence for a GAN trained on only 3,781 patches.</w:t>
      </w:r>
    </w:p>
    <w:p>
      <w:r>
        <w:rPr>
          <w:b/>
        </w:rPr>
        <w:t xml:space="preserve">Required correction: </w:t>
      </w:r>
      <w:r>
        <w:t>Repeat the main model, ablations, and baselines across multiple seeds or provide bootstrap confidence intervals for the reported metrics. Report mean ± standard deviation and, where appropriate, statistical comparisons.</w:t>
      </w:r>
    </w:p>
    <w:p>
      <w:pPr>
        <w:pStyle w:val="Heading2"/>
      </w:pPr>
      <w:r>
        <w:t>17. The number of evaluation metrics is inconsistent</w:t>
      </w:r>
    </w:p>
    <w:p>
      <w:r>
        <w:rPr>
          <w:b/>
        </w:rPr>
        <w:t xml:space="preserve">Problem: </w:t>
      </w:r>
      <w:r>
        <w:t>The manuscript repeatedly claims an 'eleven-metric protocol'. Table 7 contains 14 tracked quantities including losses and augmentation strength, Table 8 contains 11 rows/quantities including training metadata but only 10 substantive performance metrics depending on counting, Table 9 contains 9 performance columns, and Table 10 contains 10 performance columns.</w:t>
      </w:r>
    </w:p>
    <w:p>
      <w:r>
        <w:rPr>
          <w:b/>
        </w:rPr>
        <w:t xml:space="preserve">Required correction: </w:t>
      </w:r>
      <w:r>
        <w:t>Define the exact primary evaluation metric set once. List all metrics explicitly and use the same metric set consistently in the abstract, methodology, ablation, comparison, figures, and conclusions. Do not report mean ranks over 'eleven criteria' if only nine or ten are actually included.</w:t>
      </w:r>
    </w:p>
    <w:p>
      <w:pPr>
        <w:pStyle w:val="Heading2"/>
      </w:pPr>
      <w:r>
        <w:t>18. Mean-rank analysis is under-specified</w:t>
      </w:r>
    </w:p>
    <w:p>
      <w:r>
        <w:rPr>
          <w:b/>
        </w:rPr>
        <w:t xml:space="preserve">Problem: </w:t>
      </w:r>
      <w:r>
        <w:t>The manuscript reports mean rank 2.27, 3.09, 3.36 and so on, but does not specify the ranking direction, treatment of ties, metric normalization, whether all metrics receive equal weight, or how metrics with opposite desirable directions are handled.</w:t>
      </w:r>
    </w:p>
    <w:p>
      <w:r>
        <w:rPr>
          <w:b/>
        </w:rPr>
        <w:t xml:space="preserve">Required correction: </w:t>
      </w:r>
      <w:r>
        <w:t>Provide the exact ranking formula and metric-direction convention. Consider reporting the individual metric table as the primary evidence rather than an aggregate rank.</w:t>
      </w:r>
    </w:p>
    <w:p>
      <w:pPr>
        <w:pStyle w:val="Heading2"/>
      </w:pPr>
      <w:r>
        <w:t>19. The ablation labels N3/N4 are inconsistent</w:t>
      </w:r>
    </w:p>
    <w:p>
      <w:r>
        <w:rPr>
          <w:b/>
        </w:rPr>
        <w:t xml:space="preserve">Problem: </w:t>
      </w:r>
      <w:r>
        <w:t>The architecture defines N3 as the Novelty Constraint Module and N4 as Anchored Aesthetic Alignment. However, Section 4.5 describes A4 as '+N4 mem-hinge' and A5 as '+N3 aesthetic', which reverses the module numbering.</w:t>
      </w:r>
    </w:p>
    <w:p>
      <w:r>
        <w:rPr>
          <w:b/>
        </w:rPr>
        <w:t xml:space="preserve">Required correction: </w:t>
      </w:r>
      <w:r>
        <w:t>Correct all N3/N4 references in the ablation text, table, figure, captions, and discussion. Ensure the ablation implementation names match the actual code.</w:t>
      </w:r>
    </w:p>
    <w:p>
      <w:pPr>
        <w:pStyle w:val="Heading2"/>
      </w:pPr>
      <w:r>
        <w:t>20. The ablation ladder does not isolate components cleanly</w:t>
      </w:r>
    </w:p>
    <w:p>
      <w:r>
        <w:rPr>
          <w:b/>
        </w:rPr>
        <w:t xml:space="preserve">Problem: </w:t>
      </w:r>
      <w:r>
        <w:t>The progressive A1→A2→A3→A4→A5→full sequence changes multiple interacting properties and is not a strict one-factor-at-a-time ablation. N1 may include toroidal synthesis and seam-aware discrimination, while N5 adds garment context.</w:t>
      </w:r>
    </w:p>
    <w:p>
      <w:r>
        <w:rPr>
          <w:b/>
        </w:rPr>
        <w:t xml:space="preserve">Required correction: </w:t>
      </w:r>
      <w:r>
        <w:t>Define each ablation precisely as a component-level intervention. Add single-removal ablations from the full model (−N1, −N2, −N3, −N4, −N5) in addition to the progressive ladder.</w:t>
      </w:r>
    </w:p>
    <w:p>
      <w:pPr>
        <w:pStyle w:val="Heading2"/>
      </w:pPr>
      <w:r>
        <w:t>21. The memorization hinge is claimed to 'cost nothing' without a computational analysis</w:t>
      </w:r>
    </w:p>
    <w:p>
      <w:r>
        <w:rPr>
          <w:b/>
        </w:rPr>
        <w:t xml:space="preserve">Problem: </w:t>
      </w:r>
      <w:r>
        <w:t>A4 is described as having negligible effect and 'costing nothing', but the novelty module requires CLIP embeddings and nearest-neighbour comparison against 3,781 training embeddings.</w:t>
      </w:r>
    </w:p>
    <w:p>
      <w:r>
        <w:rPr>
          <w:b/>
        </w:rPr>
        <w:t xml:space="preserve">Required correction: </w:t>
      </w:r>
      <w:r>
        <w:t>Report training-time overhead, memory overhead, inference overhead, and any additional preprocessing cost. 'No performance improvement' does not mean 'costs nothing'.</w:t>
      </w:r>
    </w:p>
    <w:p>
      <w:pPr>
        <w:pStyle w:val="Heading2"/>
      </w:pPr>
      <w:r>
        <w:t>22. Novelty evaluation is not sufficient to prove originality of motifs</w:t>
      </w:r>
    </w:p>
    <w:p>
      <w:r>
        <w:rPr>
          <w:b/>
        </w:rPr>
        <w:t xml:space="preserve">Problem: </w:t>
      </w:r>
      <w:r>
        <w:t>A low nearest-neighbour rate in CLIP space does not prove that generated motifs are novel in a human/design sense. CLIP embedding distance can miss structural or compositional copying.</w:t>
      </w:r>
    </w:p>
    <w:p>
      <w:r>
        <w:rPr>
          <w:b/>
        </w:rPr>
        <w:t xml:space="preserve">Required correction: </w:t>
      </w:r>
      <w:r>
        <w:t>Call this metric 'embedding-space memorisation' or similar. Add complementary pixel/perceptual nearest-neighbour analysis and, ideally, human assessment of novelty for a sampled subset.</w:t>
      </w:r>
    </w:p>
    <w:p>
      <w:pPr>
        <w:pStyle w:val="Heading2"/>
      </w:pPr>
      <w:r>
        <w:t>23. Conditional accuracy is difficult to interpret</w:t>
      </w:r>
    </w:p>
    <w:p>
      <w:r>
        <w:rPr>
          <w:b/>
        </w:rPr>
        <w:t xml:space="preserve">Problem: </w:t>
      </w:r>
      <w:r>
        <w:t>The conditional probe is trained on DINOv2 features of the training patches and evaluated on generated samples. The real-data accuracy of 0.8552 is used as a reference, but the probe itself may have class bias and may not be calibrated.</w:t>
      </w:r>
    </w:p>
    <w:p>
      <w:r>
        <w:rPr>
          <w:b/>
        </w:rPr>
        <w:t xml:space="preserve">Required correction: </w:t>
      </w:r>
      <w:r>
        <w:t>Report the probe architecture, training split, class balance, cross-validation or held-out accuracy, confusion matrix, and per-class conditional accuracy. Report generated conditional accuracy per pattern class.</w:t>
      </w:r>
    </w:p>
    <w:p>
      <w:pPr>
        <w:pStyle w:val="Heading2"/>
      </w:pPr>
      <w:r>
        <w:t>24. Palette adherence is not fully demonstrated</w:t>
      </w:r>
    </w:p>
    <w:p>
      <w:r>
        <w:rPr>
          <w:b/>
        </w:rPr>
        <w:t xml:space="preserve">Problem: </w:t>
      </w:r>
      <w:r>
        <w:t>The paper claims explicit five-colour palette control, but the reported evaluation table does not include a dedicated numerical palette-adherence metric despite the central role of the claim.</w:t>
      </w:r>
    </w:p>
    <w:p>
      <w:r>
        <w:rPr>
          <w:b/>
        </w:rPr>
        <w:t xml:space="preserve">Required correction: </w:t>
      </w:r>
      <w:r>
        <w:t>Add a quantitative palette adherence metric, preferably ΔE-based coverage/precision/recall or a clearly defined colour-set distance, evaluated for both in-distribution and deliberately varied palettes.</w:t>
      </w:r>
    </w:p>
    <w:p>
      <w:pPr>
        <w:pStyle w:val="Heading2"/>
      </w:pPr>
      <w:r>
        <w:t>25. Palette conditioning may be distribution-limited</w:t>
      </w:r>
    </w:p>
    <w:p>
      <w:r>
        <w:rPr>
          <w:b/>
        </w:rPr>
        <w:t xml:space="preserve">Problem: </w:t>
      </w:r>
      <w:r>
        <w:t>The manuscript states that palettes are sampled from the data distribution because the commercial photographs have low chroma. This means the claimed designer control may not generalize to saturated or out-of-distribution palettes.</w:t>
      </w:r>
    </w:p>
    <w:p>
      <w:r>
        <w:rPr>
          <w:b/>
        </w:rPr>
        <w:t xml:space="preserve">Required correction: </w:t>
      </w:r>
      <w:r>
        <w:t>Add an out-of-distribution palette experiment covering higher-chroma and controlled synthetic palettes. Report failure cases and gamut/colour-conversion limitations.</w:t>
      </w:r>
    </w:p>
    <w:p>
      <w:pPr>
        <w:pStyle w:val="Heading2"/>
      </w:pPr>
      <w:r>
        <w:t>26. CIELAB conversion and gamut handling are under-specified</w:t>
      </w:r>
    </w:p>
    <w:p>
      <w:r>
        <w:rPr>
          <w:b/>
        </w:rPr>
        <w:t xml:space="preserve">Problem: </w:t>
      </w:r>
      <w:r>
        <w:t>The generator output is converted to CIELAB and compared with requested colours, but the paper does not state the exact RGB/CIELAB colour-space assumptions, illuminant/reference white, clipping procedure, or differentiability implementation.</w:t>
      </w:r>
    </w:p>
    <w:p>
      <w:r>
        <w:rPr>
          <w:b/>
        </w:rPr>
        <w:t xml:space="preserve">Required correction: </w:t>
      </w:r>
      <w:r>
        <w:t>Document the colour conversion convention and clipping/gamut handling. Verify that the palette loss is differentiable and numerically stable across the full output range.</w:t>
      </w:r>
    </w:p>
    <w:p>
      <w:pPr>
        <w:pStyle w:val="Heading2"/>
      </w:pPr>
      <w:r>
        <w:t>27. Drape renderer is a simplified approximation of garment appearance</w:t>
      </w:r>
    </w:p>
    <w:p>
      <w:r>
        <w:rPr>
          <w:b/>
        </w:rPr>
        <w:t xml:space="preserve">Problem: </w:t>
      </w:r>
      <w:r>
        <w:t>The renderer uses random scale/rotation, torus wrapping, a shading map, and alpha composition. This may not reproduce fabric deformation, folds, perspective, occlusion, texture-scale changes, or print registration accurately.</w:t>
      </w:r>
    </w:p>
    <w:p>
      <w:r>
        <w:rPr>
          <w:b/>
        </w:rPr>
        <w:t xml:space="preserve">Required correction: </w:t>
      </w:r>
      <w:r>
        <w:t>Describe the renderer as an approximation rather than a physically faithful garment simulation. Add a visual validation or comparison against real patterned garment images and quantify the renderer's limitations.</w:t>
      </w:r>
    </w:p>
    <w:p>
      <w:pPr>
        <w:pStyle w:val="Heading2"/>
      </w:pPr>
      <w:r>
        <w:t>28. Garment-context discriminator may learn garment/background shortcuts</w:t>
      </w:r>
    </w:p>
    <w:p>
      <w:r>
        <w:rPr>
          <w:b/>
        </w:rPr>
        <w:t xml:space="preserve">Problem: </w:t>
      </w:r>
      <w:r>
        <w:t>The garment discriminator evaluates composites against real garment crops, but the paper does not show whether background, silhouette, lighting, or garment-type cues dominate the discrimination rather than pattern realism.</w:t>
      </w:r>
    </w:p>
    <w:p>
      <w:r>
        <w:rPr>
          <w:b/>
        </w:rPr>
        <w:t xml:space="preserve">Required correction: </w:t>
      </w:r>
      <w:r>
        <w:t>Add controls such as background-only, mask-only, and pattern-only comparisons. Demonstrate that the discriminator responds to pattern quality rather than irrelevant garment/context cues.</w:t>
      </w:r>
    </w:p>
    <w:p>
      <w:pPr>
        <w:pStyle w:val="Heading2"/>
      </w:pPr>
      <w:r>
        <w:t>29. The garment bank is described inconsistently</w:t>
      </w:r>
    </w:p>
    <w:p>
      <w:r>
        <w:rPr>
          <w:b/>
        </w:rPr>
        <w:t xml:space="preserve">Problem: </w:t>
      </w:r>
      <w:r>
        <w:t>The manuscript says a garment bank of 1,500 crops is built from the training set, while the training set contains 1,169 garments. This requires explanation because the bank size exceeds the number of training garment items.</w:t>
      </w:r>
    </w:p>
    <w:p>
      <w:r>
        <w:rPr>
          <w:b/>
        </w:rPr>
        <w:t xml:space="preserve">Required correction: </w:t>
      </w:r>
      <w:r>
        <w:t>Clarify whether the 1,500 entries are multiple crops/views per garment or another sampling unit. Report unique garment IDs and total bank entries.</w:t>
      </w:r>
    </w:p>
    <w:p>
      <w:pPr>
        <w:pStyle w:val="Heading2"/>
      </w:pPr>
      <w:r>
        <w:t>30. Training-time metric trends are interpreted too strongly</w:t>
      </w:r>
    </w:p>
    <w:p>
      <w:r>
        <w:rPr>
          <w:b/>
        </w:rPr>
        <w:t xml:space="preserve">Problem: </w:t>
      </w:r>
      <w:r>
        <w:t>The paper states that decreasing KID/FID and increasing Vendi prove progressive learning, absence of mode collapse, and absence of overfitting. These metrics alone do not establish those claims.</w:t>
      </w:r>
    </w:p>
    <w:p>
      <w:r>
        <w:rPr>
          <w:b/>
        </w:rPr>
        <w:t xml:space="preserve">Required correction: </w:t>
      </w:r>
      <w:r>
        <w:t>Use cautious language. Add mode-collapse diagnostics, repeated samples, class-wise distributions, and validation metrics. Do not infer absence of overfitting solely from monotonically improving test-set metrics.</w:t>
      </w:r>
    </w:p>
    <w:p>
      <w:pPr>
        <w:pStyle w:val="Heading2"/>
      </w:pPr>
      <w:r>
        <w:t>31. Precision-recall interpretation is incomplete</w:t>
      </w:r>
    </w:p>
    <w:p>
      <w:r>
        <w:rPr>
          <w:b/>
        </w:rPr>
        <w:t xml:space="preserve">Problem: </w:t>
      </w:r>
      <w:r>
        <w:t>PRISM-GAN has recall 0.0632 and precision 0.4040, while BigGAN has precision 0.5356 and very low recall. The paper correctly notes a tradeoff, but it then emphasizes the proposed model's superior combined performance without a principled way of weighting precision versus recall.</w:t>
      </w:r>
    </w:p>
    <w:p>
      <w:r>
        <w:rPr>
          <w:b/>
        </w:rPr>
        <w:t xml:space="preserve">Required correction: </w:t>
      </w:r>
      <w:r>
        <w:t>Report precision-recall curves or a defined aggregate criterion. Explain why recall is the primary coverage measure and avoid an overall superiority statement based on an informal tradeoff.</w:t>
      </w:r>
    </w:p>
    <w:p>
      <w:pPr>
        <w:pStyle w:val="Heading2"/>
      </w:pPr>
      <w:r>
        <w:t>32. Very low recall is a substantive limitation</w:t>
      </w:r>
    </w:p>
    <w:p>
      <w:r>
        <w:rPr>
          <w:b/>
        </w:rPr>
        <w:t xml:space="preserve">Problem: </w:t>
      </w:r>
      <w:r>
        <w:t>The final recall of 0.0632 is much lower than the real-data reference 0.5393. This means the generator covers only a small part of the real pattern distribution under the chosen feature-space metric.</w:t>
      </w:r>
    </w:p>
    <w:p>
      <w:r>
        <w:rPr>
          <w:b/>
        </w:rPr>
        <w:t xml:space="preserve">Required correction: </w:t>
      </w:r>
      <w:r>
        <w:t>Present this as a major limitation, not merely as an expected consequence of constraints. Analyze which pattern classes or styles are missing and report per-class coverage.</w:t>
      </w:r>
    </w:p>
    <w:p>
      <w:pPr>
        <w:pStyle w:val="Heading2"/>
      </w:pPr>
      <w:r>
        <w:t>33. The claim that generated patterns are 'nearly indistinguishable from real fabric' is unsupported</w:t>
      </w:r>
    </w:p>
    <w:p>
      <w:r>
        <w:rPr>
          <w:b/>
        </w:rPr>
        <w:t xml:space="preserve">Problem: </w:t>
      </w:r>
      <w:r>
        <w:t>The manuscript bases this claim primarily on NIMA and LPIPS values being numerically close to real data. These two metrics cannot establish perceptual indistinguishability.</w:t>
      </w:r>
    </w:p>
    <w:p>
      <w:r>
        <w:rPr>
          <w:b/>
        </w:rPr>
        <w:t xml:space="preserve">Required correction: </w:t>
      </w:r>
      <w:r>
        <w:t>Remove or qualify this claim. Add a blinded human real-versus-generated discrimination study if perceptual indistinguishability is important.</w:t>
      </w:r>
    </w:p>
    <w:p>
      <w:pPr>
        <w:pStyle w:val="Heading2"/>
      </w:pPr>
      <w:r>
        <w:t>34. NIMA/aesthetic reward introduces model bias</w:t>
      </w:r>
    </w:p>
    <w:p>
      <w:r>
        <w:rPr>
          <w:b/>
        </w:rPr>
        <w:t xml:space="preserve">Problem: </w:t>
      </w:r>
      <w:r>
        <w:t>The aesthetic reward is trained on AVA and the final evaluation also uses an AVA-trained no-reference predictor. Although the paper says the predictor is distinct, both remain external learned aesthetic models and may encode biases unrelated to textile design.</w:t>
      </w:r>
    </w:p>
    <w:p>
      <w:r>
        <w:rPr>
          <w:b/>
        </w:rPr>
        <w:t xml:space="preserve">Required correction: </w:t>
      </w:r>
      <w:r>
        <w:t>Report the exact aesthetic models, training domains, versions, and known limitations. Add human designer ratings or textile-specific aesthetic evaluation if aesthetics are a central contribution.</w:t>
      </w:r>
    </w:p>
    <w:p>
      <w:pPr>
        <w:pStyle w:val="Heading2"/>
      </w:pPr>
      <w:r>
        <w:t>35. No per-class results</w:t>
      </w:r>
    </w:p>
    <w:p>
      <w:r>
        <w:rPr>
          <w:b/>
        </w:rPr>
        <w:t xml:space="preserve">Problem: </w:t>
      </w:r>
      <w:r>
        <w:t>The four pattern classes are substantially imbalanced, especially Graphic versus Lattice. Aggregate metrics can hide poor performance on minority classes.</w:t>
      </w:r>
    </w:p>
    <w:p>
      <w:r>
        <w:rPr>
          <w:b/>
        </w:rPr>
        <w:t xml:space="preserve">Required correction: </w:t>
      </w:r>
      <w:r>
        <w:t>Report per-class fidelity, conditional accuracy, diversity/coverage where meaningful, and representative qualitative samples for floral, graphic, lattice, and striped patterns.</w:t>
      </w:r>
    </w:p>
    <w:p>
      <w:pPr>
        <w:pStyle w:val="Heading2"/>
      </w:pPr>
      <w:r>
        <w:t>36. Symmetry control is not empirically validated per symmetry group</w:t>
      </w:r>
    </w:p>
    <w:p>
      <w:r>
        <w:rPr>
          <w:b/>
        </w:rPr>
        <w:t xml:space="preserve">Problem: </w:t>
      </w:r>
      <w:r>
        <w:t>The manuscript provides six wallpaper point groups but does not show quantitative or visual performance for each group.</w:t>
      </w:r>
    </w:p>
    <w:p>
      <w:r>
        <w:rPr>
          <w:b/>
        </w:rPr>
        <w:t xml:space="preserve">Required correction: </w:t>
      </w:r>
      <w:r>
        <w:t>Generate controlled samples for every supported group and report symmetry-consistency metrics and visual examples. Clarify whether the listed groups are point groups or wallpaper groups, because the terminology is potentially imprecise.</w:t>
      </w:r>
    </w:p>
    <w:p>
      <w:pPr>
        <w:pStyle w:val="Heading2"/>
      </w:pPr>
      <w:r>
        <w:t>37. 'Wallpaper group' terminology needs mathematical precision</w:t>
      </w:r>
    </w:p>
    <w:p>
      <w:r>
        <w:rPr>
          <w:b/>
        </w:rPr>
        <w:t xml:space="preserve">Problem: </w:t>
      </w:r>
      <w:r>
        <w:t>The manuscript refers to p1, p2, p4, pm, pmm, and p4m as wallpaper symmetry groups, but the discussion sometimes calls them 'point groups'. These are not interchangeable mathematical concepts.</w:t>
      </w:r>
    </w:p>
    <w:p>
      <w:r>
        <w:rPr>
          <w:b/>
        </w:rPr>
        <w:t xml:space="preserve">Required correction: </w:t>
      </w:r>
      <w:r>
        <w:t>Use the correct crystallographic terminology consistently and provide the exact group action used by the implementation.</w:t>
      </w:r>
    </w:p>
    <w:p>
      <w:pPr>
        <w:pStyle w:val="Heading2"/>
      </w:pPr>
      <w:r>
        <w:t>38. Symmetry annotations are synthetic control variables</w:t>
      </w:r>
    </w:p>
    <w:p>
      <w:r>
        <w:rPr>
          <w:b/>
        </w:rPr>
        <w:t xml:space="preserve">Problem: </w:t>
      </w:r>
      <w:r>
        <w:t>Real samples do not contain symmetry annotations, so the symmetry group is supplied only to the generator. The manuscript needs to explain how the requested group is chosen during training and whether the training generator receives arbitrary groups unrelated to the source pattern.</w:t>
      </w:r>
    </w:p>
    <w:p>
      <w:r>
        <w:rPr>
          <w:b/>
        </w:rPr>
        <w:t xml:space="preserve">Required correction: </w:t>
      </w:r>
      <w:r>
        <w:t>Describe the sampling strategy for symmetry conditions. If symmetry labels are synthetic, explain whether the model is trained to generate a requested symmetry independent of the source pattern and how that affects conditional fidelity.</w:t>
      </w:r>
    </w:p>
    <w:p>
      <w:pPr>
        <w:pStyle w:val="Heading2"/>
      </w:pPr>
      <w:r>
        <w:t>39. Training budget calculation needs clarification</w:t>
      </w:r>
    </w:p>
    <w:p>
      <w:r>
        <w:rPr>
          <w:b/>
        </w:rPr>
        <w:t xml:space="preserve">Problem: </w:t>
      </w:r>
      <w:r>
        <w:t>The manuscript says 200 epochs over 3,781 training patches equals 755.2 thousand images seen. With batch size 32, one epoch is approximately 118.2 minibatches, giving roughly 755.2k image instances, but the number of discriminator/generator updates and lazy regularization events should also be stated.</w:t>
      </w:r>
    </w:p>
    <w:p>
      <w:r>
        <w:rPr>
          <w:b/>
        </w:rPr>
        <w:t xml:space="preserve">Required correction: </w:t>
      </w:r>
      <w:r>
        <w:t>Report exact iteration count, number of generator updates, discriminator updates, and effective R1 applications.</w:t>
      </w:r>
    </w:p>
    <w:p>
      <w:pPr>
        <w:pStyle w:val="Heading2"/>
      </w:pPr>
      <w:r>
        <w:t>40. Learning rate and regularization need justification</w:t>
      </w:r>
    </w:p>
    <w:p>
      <w:r>
        <w:rPr>
          <w:b/>
        </w:rPr>
        <w:t xml:space="preserve">Problem: </w:t>
      </w:r>
      <w:r>
        <w:t>An Adam learning rate of 2.5×10^-3 is unusually high relative to many GAN configurations, while the manuscript does not provide a tuning study or stability rationale.</w:t>
      </w:r>
    </w:p>
    <w:p>
      <w:r>
        <w:rPr>
          <w:b/>
        </w:rPr>
        <w:t xml:space="preserve">Required correction: </w:t>
      </w:r>
      <w:r>
        <w:t>Report the learning-rate search range and justify the final value. Provide optimizer details for all discriminators and explain any lazy scaling precisely.</w:t>
      </w:r>
    </w:p>
    <w:p>
      <w:pPr>
        <w:pStyle w:val="Heading2"/>
      </w:pPr>
      <w:r>
        <w:t>41. EMA evaluation protocol needs more detail</w:t>
      </w:r>
    </w:p>
    <w:p>
      <w:r>
        <w:rPr>
          <w:b/>
        </w:rPr>
        <w:t xml:space="preserve">Problem: </w:t>
      </w:r>
      <w:r>
        <w:t>The paper says evaluation uses the exponential moving average generator, but it is not always clear whether all reported checkpoints and ablations use EMA weights.</w:t>
      </w:r>
    </w:p>
    <w:p>
      <w:r>
        <w:rPr>
          <w:b/>
        </w:rPr>
        <w:t xml:space="preserve">Required correction: </w:t>
      </w:r>
      <w:r>
        <w:t>State explicitly whether every reported result uses EMA, the EMA decay/half-life calculation, and whether non-EMA results were considered.</w:t>
      </w:r>
    </w:p>
    <w:p>
      <w:pPr>
        <w:pStyle w:val="Heading2"/>
      </w:pPr>
      <w:r>
        <w:t>42. Fixed latent samples during training evaluation can bias apparent progression</w:t>
      </w:r>
    </w:p>
    <w:p>
      <w:r>
        <w:rPr>
          <w:b/>
        </w:rPr>
        <w:t xml:space="preserve">Problem: </w:t>
      </w:r>
      <w:r>
        <w:t>Table 7 uses 2,000 fixed-latent samples per evaluation. Fixed latent seeds are useful for tracking change, but they can produce a non-representative snapshot of diversity.</w:t>
      </w:r>
    </w:p>
    <w:p>
      <w:r>
        <w:rPr>
          <w:b/>
        </w:rPr>
        <w:t xml:space="preserve">Required correction: </w:t>
      </w:r>
      <w:r>
        <w:t>Use fixed latents for convergence visualization but supplement them with independently sampled evaluation sets and confidence intervals for final metric estimates.</w:t>
      </w:r>
    </w:p>
    <w:p>
      <w:pPr>
        <w:pStyle w:val="Heading2"/>
      </w:pPr>
      <w:r>
        <w:t>43. 10,000 generated samples versus a 953-sample test set needs statistical treatment</w:t>
      </w:r>
    </w:p>
    <w:p>
      <w:r>
        <w:rPr>
          <w:b/>
        </w:rPr>
        <w:t xml:space="preserve">Problem: </w:t>
      </w:r>
      <w:r>
        <w:t>The final evaluation uses 10,000 generated samples against only 953 held-out real patches. Some metrics, especially KID/FID/precision-recall manifolds, can be sensitive to sample-size imbalance.</w:t>
      </w:r>
    </w:p>
    <w:p>
      <w:r>
        <w:rPr>
          <w:b/>
        </w:rPr>
        <w:t xml:space="preserve">Required correction: </w:t>
      </w:r>
      <w:r>
        <w:t>Describe how sample sizes are handled for every metric. Report uncertainty and, where appropriate, repeat generated sampling with multiple independent random seeds.</w:t>
      </w:r>
    </w:p>
    <w:p>
      <w:pPr>
        <w:pStyle w:val="Heading2"/>
      </w:pPr>
      <w:r>
        <w:t>44. FID/KID feature choices need stronger justification for textile patterns</w:t>
      </w:r>
    </w:p>
    <w:p>
      <w:r>
        <w:rPr>
          <w:b/>
        </w:rPr>
        <w:t xml:space="preserve">Problem: </w:t>
      </w:r>
      <w:r>
        <w:t>Inception-v3, VGG-16, and DINOv2 are generic visual representations. Their relevance to textile motifs, periodicity, colourways, and fabric structure is not established.</w:t>
      </w:r>
    </w:p>
    <w:p>
      <w:r>
        <w:rPr>
          <w:b/>
        </w:rPr>
        <w:t xml:space="preserve">Required correction: </w:t>
      </w:r>
      <w:r>
        <w:t>Justify each feature space and consider a textile-specific embedding or a human-validated metric. Report sensitivity of conclusions to feature-space choice.</w:t>
      </w:r>
    </w:p>
    <w:p>
      <w:pPr>
        <w:pStyle w:val="Heading2"/>
      </w:pPr>
      <w:r>
        <w:t>45. DINOv2 feature dimensionality/version is missing</w:t>
      </w:r>
    </w:p>
    <w:p>
      <w:r>
        <w:rPr>
          <w:b/>
        </w:rPr>
        <w:t xml:space="preserve">Problem: </w:t>
      </w:r>
      <w:r>
        <w:t>The manuscript reports FD-DINOv2 values but does not specify the exact DINOv2 model variant, preprocessing, pooling layer, feature dimensionality, or normalization.</w:t>
      </w:r>
    </w:p>
    <w:p>
      <w:r>
        <w:rPr>
          <w:b/>
        </w:rPr>
        <w:t xml:space="preserve">Required correction: </w:t>
      </w:r>
      <w:r>
        <w:t>Add complete implementation details so FD-DINOv2 is reproducible.</w:t>
      </w:r>
    </w:p>
    <w:p>
      <w:pPr>
        <w:pStyle w:val="Heading2"/>
      </w:pPr>
      <w:r>
        <w:t>46. VGG precision/recall manifold metric needs implementation details</w:t>
      </w:r>
    </w:p>
    <w:p>
      <w:r>
        <w:rPr>
          <w:b/>
        </w:rPr>
        <w:t xml:space="preserve">Problem: </w:t>
      </w:r>
      <w:r>
        <w:t>The paper specifies k=3 but does not specify distance metric, feature layer, normalization, manifold radius construction, or exact implementation.</w:t>
      </w:r>
    </w:p>
    <w:p>
      <w:r>
        <w:rPr>
          <w:b/>
        </w:rPr>
        <w:t xml:space="preserve">Required correction: </w:t>
      </w:r>
      <w:r>
        <w:t>Document all implementation choices and cite the original precision/recall methodology.</w:t>
      </w:r>
    </w:p>
    <w:p>
      <w:pPr>
        <w:pStyle w:val="Heading2"/>
      </w:pPr>
      <w:r>
        <w:t>47. The seam metric needs uncertainty and scale analysis</w:t>
      </w:r>
    </w:p>
    <w:p>
      <w:r>
        <w:rPr>
          <w:b/>
        </w:rPr>
        <w:t xml:space="preserve">Problem: </w:t>
      </w:r>
      <w:r>
        <w:t>A single seam ratio can depend on image frequency, texture, and noise. The paper does not report confidence intervals or whether the metric is stable across random rolls and generated samples.</w:t>
      </w:r>
    </w:p>
    <w:p>
      <w:r>
        <w:rPr>
          <w:b/>
        </w:rPr>
        <w:t xml:space="preserve">Required correction: </w:t>
      </w:r>
      <w:r>
        <w:t>Report mean ± standard deviation or confidence intervals across many samples and rolls. Include direct visual seam examples at 1×, 2×, and larger repeats.</w:t>
      </w:r>
    </w:p>
    <w:p>
      <w:pPr>
        <w:pStyle w:val="Heading2"/>
      </w:pPr>
      <w:r>
        <w:t>48. The conclusion overstates industrial readiness</w:t>
      </w:r>
    </w:p>
    <w:p>
      <w:r>
        <w:rPr>
          <w:b/>
        </w:rPr>
        <w:t xml:space="preserve">Problem: </w:t>
      </w:r>
      <w:r>
        <w:t>The manuscript repeatedly uses terms such as 'printable', 'production-focused', and 'directly usable in textile production', but no print-trial, colour-management, repeat-registration, fabric distortion, or manufacturing validation is presented.</w:t>
      </w:r>
    </w:p>
    <w:p>
      <w:r>
        <w:rPr>
          <w:b/>
        </w:rPr>
        <w:t xml:space="preserve">Required correction: </w:t>
      </w:r>
      <w:r>
        <w:t>Change such claims to 'digitally tileable' or 'potentially suitable for textile pattern development' unless physical validation is added.</w:t>
      </w:r>
    </w:p>
    <w:p>
      <w:pPr>
        <w:pStyle w:val="Heading1"/>
      </w:pPr>
      <w:r>
        <w:t>Specific Internal Inconsistencies and Numerical/Editorial Errors</w:t>
      </w:r>
    </w:p>
    <w:p>
      <w:pPr>
        <w:pStyle w:val="Heading2"/>
      </w:pPr>
      <w:r>
        <w:t>49. A4/A5 module naming is reversed</w:t>
      </w:r>
    </w:p>
    <w:p>
      <w:r>
        <w:t>Table/method nomenclature defines N3 = novelty and N4 = aesthetic alignment, but Section 4.5 calls A4 '+N4 mem-hinge' and A5 '+N3 aesthetic'. This is a direct internal inconsistency.</w:t>
      </w:r>
    </w:p>
    <w:p>
      <w:pPr>
        <w:pStyle w:val="Heading2"/>
      </w:pPr>
      <w:r>
        <w:t>50. The manuscript claims eleven metrics but tables do not consistently contain eleven</w:t>
      </w:r>
    </w:p>
    <w:p>
      <w:r>
        <w:t>Table 9 has nine metric columns; Table 10 has ten metric columns. The statement that the mean rank is calculated across eleven criteria therefore cannot be reproduced from the displayed tables.</w:t>
      </w:r>
    </w:p>
    <w:p>
      <w:pPr>
        <w:pStyle w:val="Heading2"/>
      </w:pPr>
      <w:r>
        <w:t>51. 'All distributional metrics' is overstated</w:t>
      </w:r>
    </w:p>
    <w:p>
      <w:r>
        <w:t>Training progression text says all distributional metrics improve, but precision falls from 0.4355 at Epoch 80 to 0.3980 at Epoch 200. The intended statement should be limited to KID/FID/FD-type distance metrics.</w:t>
      </w:r>
    </w:p>
    <w:p>
      <w:pPr>
        <w:pStyle w:val="Heading2"/>
      </w:pPr>
      <w:r>
        <w:t>52. 'No mode collapse' is not proven by Vendi alone</w:t>
      </w:r>
    </w:p>
    <w:p>
      <w:r>
        <w:t>A rising Vendi score does not establish the absence of mode collapse. Add mode-coverage diagnostics or soften the claim.</w:t>
      </w:r>
    </w:p>
    <w:p>
      <w:pPr>
        <w:pStyle w:val="Heading2"/>
      </w:pPr>
      <w:r>
        <w:t>53. 'Seam ratio close to one throughout' should acknowledge variation</w:t>
      </w:r>
    </w:p>
    <w:p>
      <w:r>
        <w:t>Table 7 ranges from 1.0447 to 1.1620 at the reported checkpoints. The metric is close to one, but the manuscript should not imply exact equality.</w:t>
      </w:r>
    </w:p>
    <w:p>
      <w:pPr>
        <w:pStyle w:val="Heading2"/>
      </w:pPr>
      <w:r>
        <w:t>54. Conditional accuracy comparison needs class-balance disclosure</w:t>
      </w:r>
    </w:p>
    <w:p>
      <w:r>
        <w:t>The generated and real conditional-probe accuracies are compared directly, but class distributions and probe calibration are not shown.</w:t>
      </w:r>
    </w:p>
    <w:p>
      <w:pPr>
        <w:pStyle w:val="Heading2"/>
      </w:pPr>
      <w:r>
        <w:t>55. Table 8's 'Real data (test vs. train)' is not a conventional model baseline</w:t>
      </w:r>
    </w:p>
    <w:p>
      <w:r>
        <w:t>The real-data row is a diagnostic reference, not a model. Label it explicitly as a reference/upper-context diagnostic rather than mixing it with model performance.</w:t>
      </w:r>
    </w:p>
    <w:p>
      <w:pPr>
        <w:pStyle w:val="Heading2"/>
      </w:pPr>
      <w:r>
        <w:t>56. Table 9 ablation nomenclature does not clearly identify the full five-module difference</w:t>
      </w:r>
    </w:p>
    <w:p>
      <w:r>
        <w:t>The text says five novel features are introduced, but the progressive sequence contains A1–A5 plus the full model. Define the exact module sequence and naming once.</w:t>
      </w:r>
    </w:p>
    <w:p>
      <w:pPr>
        <w:pStyle w:val="Heading2"/>
      </w:pPr>
      <w:r>
        <w:t>57. The phrase 'same exact data partition' is inconsistent with test-set reassignment</w:t>
      </w:r>
    </w:p>
    <w:p>
      <w:r>
        <w:t>Because three garments are moved after the initial split during near-duplicate filtering, the final partition should be described as the post-audit partition.</w:t>
      </w:r>
    </w:p>
    <w:p>
      <w:pPr>
        <w:pStyle w:val="Heading2"/>
      </w:pPr>
      <w:r>
        <w:t>58. The manuscript uses 'fabric', 'pattern', 'motif', and 'garment' somewhat interchangeably</w:t>
      </w:r>
    </w:p>
    <w:p>
      <w:r>
        <w:t>These are different entities. Define the generated object precisely as a 128×128 surface-pattern tile and distinguish it from the underlying fabric, garment, and motif.</w:t>
      </w:r>
    </w:p>
    <w:p>
      <w:pPr>
        <w:pStyle w:val="Heading2"/>
      </w:pPr>
      <w:r>
        <w:t>59. Reference formatting is inconsistent</w:t>
      </w:r>
    </w:p>
    <w:p>
      <w:r>
        <w:t>Several references lack complete volume/page/article information or consistent publisher formatting. The target journal's exact reference style should be applied uniformly.</w:t>
      </w:r>
    </w:p>
    <w:p>
      <w:pPr>
        <w:pStyle w:val="Heading2"/>
      </w:pPr>
      <w:r>
        <w:t>60. Literature survey contains evaluative statements that need source verification</w:t>
      </w:r>
    </w:p>
    <w:p>
      <w:r>
        <w:t>Statements such as 'moderate fidelity', 'scarcity limits dataset size', 'complex and slow', or 'none reports...' should be supported directly by the cited work or rewritten as bounded observations.</w:t>
      </w:r>
    </w:p>
    <w:p>
      <w:pPr>
        <w:pStyle w:val="Heading1"/>
      </w:pPr>
      <w:r>
        <w:t>Figures and Tables — Mandatory Audit</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Required audit</w:t>
            </w:r>
          </w:p>
        </w:tc>
      </w:tr>
      <w:tr>
        <w:tc>
          <w:tcPr>
            <w:tcW w:type="dxa" w:w="5040"/>
          </w:tcPr>
          <w:p>
            <w:r>
              <w:t>Figure 1</w:t>
            </w:r>
          </w:p>
        </w:tc>
        <w:tc>
          <w:tcPr>
            <w:tcW w:type="dxa" w:w="5040"/>
          </w:tcPr>
          <w:p>
            <w:r>
              <w:t>Ensure the workflow explicitly shows the final garment-level split, duplicate audit, validation/development data if added, and the point at which test data first enter evaluation.</w:t>
            </w:r>
          </w:p>
        </w:tc>
      </w:tr>
      <w:tr>
        <w:tc>
          <w:tcPr>
            <w:tcW w:type="dxa" w:w="5040"/>
          </w:tcPr>
          <w:p>
            <w:r>
              <w:t>Figure 2</w:t>
            </w:r>
          </w:p>
        </w:tc>
        <w:tc>
          <w:tcPr>
            <w:tcW w:type="dxa" w:w="5040"/>
          </w:tcPr>
          <w:p>
            <w:r>
              <w:t>Verify every conditioning dimension, style dimension, symmetry stage, discriminator input, auxiliary loss, and N1–N5 label against the implementation.</w:t>
            </w:r>
          </w:p>
        </w:tc>
      </w:tr>
      <w:tr>
        <w:tc>
          <w:tcPr>
            <w:tcW w:type="dxa" w:w="5040"/>
          </w:tcPr>
          <w:p>
            <w:r>
              <w:t>Figure 3</w:t>
            </w:r>
          </w:p>
        </w:tc>
        <w:tc>
          <w:tcPr>
            <w:tcW w:type="dxa" w:w="5040"/>
          </w:tcPr>
          <w:p>
            <w:r>
              <w:t>Do not describe test-set metric curves as evidence against overfitting if the test set is used for checkpoint monitoring. Replace with validation curves.</w:t>
            </w:r>
          </w:p>
        </w:tc>
      </w:tr>
      <w:tr>
        <w:tc>
          <w:tcPr>
            <w:tcW w:type="dxa" w:w="5040"/>
          </w:tcPr>
          <w:p>
            <w:r>
              <w:t>Figure 4</w:t>
            </w:r>
          </w:p>
        </w:tc>
        <w:tc>
          <w:tcPr>
            <w:tcW w:type="dxa" w:w="5040"/>
          </w:tcPr>
          <w:p>
            <w:r>
              <w:t>Ensure the ablation labels match N1–N5 and correct the reversed N3/N4 nomenclature.</w:t>
            </w:r>
          </w:p>
        </w:tc>
      </w:tr>
      <w:tr>
        <w:tc>
          <w:tcPr>
            <w:tcW w:type="dxa" w:w="5040"/>
          </w:tcPr>
          <w:p>
            <w:r>
              <w:t>Figure 5</w:t>
            </w:r>
          </w:p>
        </w:tc>
        <w:tc>
          <w:tcPr>
            <w:tcW w:type="dxa" w:w="5040"/>
          </w:tcPr>
          <w:p>
            <w:r>
              <w:t>If this figure is a convergence comparison, provide identical checkpoint-selection rules and evaluation conditions for every baseline.</w:t>
            </w:r>
          </w:p>
        </w:tc>
      </w:tr>
      <w:tr>
        <w:tc>
          <w:tcPr>
            <w:tcW w:type="dxa" w:w="5040"/>
          </w:tcPr>
          <w:p>
            <w:r>
              <w:t>Table 2</w:t>
            </w:r>
          </w:p>
        </w:tc>
        <w:tc>
          <w:tcPr>
            <w:tcW w:type="dxa" w:w="5040"/>
          </w:tcPr>
          <w:p>
            <w:r>
              <w:t>Explain why final split percentages are 79.87/20.13 rather than exactly 80/20 and whether these are calculated by garments or patches.</w:t>
            </w:r>
          </w:p>
        </w:tc>
      </w:tr>
      <w:tr>
        <w:tc>
          <w:tcPr>
            <w:tcW w:type="dxa" w:w="5040"/>
          </w:tcPr>
          <w:p>
            <w:r>
              <w:t>Table 3</w:t>
            </w:r>
          </w:p>
        </w:tc>
        <w:tc>
          <w:tcPr>
            <w:tcW w:type="dxa" w:w="5040"/>
          </w:tcPr>
          <w:p>
            <w:r>
              <w:t>Provide complete class-balance counts and verify all class names/labels against source annotations.</w:t>
            </w:r>
          </w:p>
        </w:tc>
      </w:tr>
      <w:tr>
        <w:tc>
          <w:tcPr>
            <w:tcW w:type="dxa" w:w="5040"/>
          </w:tcPr>
          <w:p>
            <w:r>
              <w:t>Table 4</w:t>
            </w:r>
          </w:p>
        </w:tc>
        <w:tc>
          <w:tcPr>
            <w:tcW w:type="dxa" w:w="5040"/>
          </w:tcPr>
          <w:p>
            <w:r>
              <w:t>Verify parameter counts against code and clearly separate generator, discriminator, auxiliary discriminator, and non-trainable frozen networks.</w:t>
            </w:r>
          </w:p>
        </w:tc>
      </w:tr>
      <w:tr>
        <w:tc>
          <w:tcPr>
            <w:tcW w:type="dxa" w:w="5040"/>
          </w:tcPr>
          <w:p>
            <w:r>
              <w:t>Table 6</w:t>
            </w:r>
          </w:p>
        </w:tc>
        <w:tc>
          <w:tcPr>
            <w:tcW w:type="dxa" w:w="5040"/>
          </w:tcPr>
          <w:p>
            <w:r>
              <w:t>Clarify whether 'best checkpoint by KID' uses validation KID or test KID; test KID must not be used for selection.</w:t>
            </w:r>
          </w:p>
        </w:tc>
      </w:tr>
      <w:tr>
        <w:tc>
          <w:tcPr>
            <w:tcW w:type="dxa" w:w="5040"/>
          </w:tcPr>
          <w:p>
            <w:r>
              <w:t>Table 7</w:t>
            </w:r>
          </w:p>
        </w:tc>
        <w:tc>
          <w:tcPr>
            <w:tcW w:type="dxa" w:w="5040"/>
          </w:tcPr>
          <w:p>
            <w:r>
              <w:t>Use a clearly defined fixed evaluation protocol and add uncertainty.</w:t>
            </w:r>
          </w:p>
        </w:tc>
      </w:tr>
      <w:tr>
        <w:tc>
          <w:tcPr>
            <w:tcW w:type="dxa" w:w="5040"/>
          </w:tcPr>
          <w:p>
            <w:r>
              <w:t>Table 8</w:t>
            </w:r>
          </w:p>
        </w:tc>
        <w:tc>
          <w:tcPr>
            <w:tcW w:type="dxa" w:w="5040"/>
          </w:tcPr>
          <w:p>
            <w:r>
              <w:t>Separate generated-model results from the real-data diagnostic reference row.</w:t>
            </w:r>
          </w:p>
        </w:tc>
      </w:tr>
      <w:tr>
        <w:tc>
          <w:tcPr>
            <w:tcW w:type="dxa" w:w="5040"/>
          </w:tcPr>
          <w:p>
            <w:r>
              <w:t>Table 9</w:t>
            </w:r>
          </w:p>
        </w:tc>
        <w:tc>
          <w:tcPr>
            <w:tcW w:type="dxa" w:w="5040"/>
          </w:tcPr>
          <w:p>
            <w:r>
              <w:t>Add missing metrics or stop calling the ablation analysis an eleven-metric comparison.</w:t>
            </w:r>
          </w:p>
        </w:tc>
      </w:tr>
      <w:tr>
        <w:tc>
          <w:tcPr>
            <w:tcW w:type="dxa" w:w="5040"/>
          </w:tcPr>
          <w:p>
            <w:r>
              <w:t>Table 10</w:t>
            </w:r>
          </w:p>
        </w:tc>
        <w:tc>
          <w:tcPr>
            <w:tcW w:type="dxa" w:w="5040"/>
          </w:tcPr>
          <w:p>
            <w:r>
              <w:t>Provide complete baseline training details and uncertainty; do not call the comparison state-of-the-art without a defensible benchmark scope.</w:t>
            </w:r>
          </w:p>
        </w:tc>
      </w:tr>
    </w:tbl>
    <w:p>
      <w:pPr>
        <w:pStyle w:val="Heading1"/>
      </w:pPr>
      <w:r>
        <w:t>Recommended Experimental Revisions Before Resubmission</w:t>
      </w:r>
    </w:p>
    <w:p>
      <w:pPr>
        <w:ind w:left="216"/>
      </w:pPr>
      <w:r>
        <w:rPr>
          <w:b/>
        </w:rPr>
        <w:t xml:space="preserve">☐ </w:t>
      </w:r>
      <w:r>
        <w:t>Freeze the final garment-level train/validation/test partitions before any threshold tuning.</w:t>
      </w:r>
    </w:p>
    <w:p>
      <w:pPr>
        <w:ind w:left="216"/>
      </w:pPr>
      <w:r>
        <w:rPr>
          <w:b/>
        </w:rPr>
        <w:t xml:space="preserve">☐ </w:t>
      </w:r>
      <w:r>
        <w:t>Create a validation split from the training garments, or use garment-level cross-validation within the development set.</w:t>
      </w:r>
    </w:p>
    <w:p>
      <w:pPr>
        <w:ind w:left="216"/>
      </w:pPr>
      <w:r>
        <w:rPr>
          <w:b/>
        </w:rPr>
        <w:t xml:space="preserve">☐ </w:t>
      </w:r>
      <w:r>
        <w:t>Calibrate the novelty threshold using development data only.</w:t>
      </w:r>
    </w:p>
    <w:p>
      <w:pPr>
        <w:ind w:left="216"/>
      </w:pPr>
      <w:r>
        <w:rPr>
          <w:b/>
        </w:rPr>
        <w:t xml:space="preserve">☐ </w:t>
      </w:r>
      <w:r>
        <w:t>Select checkpoints using validation KID or another pre-specified validation criterion only.</w:t>
      </w:r>
    </w:p>
    <w:p>
      <w:pPr>
        <w:ind w:left="216"/>
      </w:pPr>
      <w:r>
        <w:rPr>
          <w:b/>
        </w:rPr>
        <w:t xml:space="preserve">☐ </w:t>
      </w:r>
      <w:r>
        <w:t>Evaluate the selected final checkpoint on the untouched test set once.</w:t>
      </w:r>
    </w:p>
    <w:p>
      <w:pPr>
        <w:ind w:left="216"/>
      </w:pPr>
      <w:r>
        <w:rPr>
          <w:b/>
        </w:rPr>
        <w:t xml:space="preserve">☐ </w:t>
      </w:r>
      <w:r>
        <w:t>Run at least three independent random seeds for PRISM-GAN and key baselines.</w:t>
      </w:r>
    </w:p>
    <w:p>
      <w:pPr>
        <w:ind w:left="216"/>
      </w:pPr>
      <w:r>
        <w:rPr>
          <w:b/>
        </w:rPr>
        <w:t xml:space="preserve">☐ </w:t>
      </w:r>
      <w:r>
        <w:t>Report mean ± standard deviation or confidence intervals.</w:t>
      </w:r>
    </w:p>
    <w:p>
      <w:pPr>
        <w:ind w:left="216"/>
      </w:pPr>
      <w:r>
        <w:rPr>
          <w:b/>
        </w:rPr>
        <w:t xml:space="preserve">☐ </w:t>
      </w:r>
      <w:r>
        <w:t>Add single-component removal ablations (−N1, −N2, −N3, −N4, −N5) in addition to the progressive ladder.</w:t>
      </w:r>
    </w:p>
    <w:p>
      <w:pPr>
        <w:ind w:left="216"/>
      </w:pPr>
      <w:r>
        <w:rPr>
          <w:b/>
        </w:rPr>
        <w:t xml:space="preserve">☐ </w:t>
      </w:r>
      <w:r>
        <w:t>Add per-pattern-class results and conditional accuracy.</w:t>
      </w:r>
    </w:p>
    <w:p>
      <w:pPr>
        <w:ind w:left="216"/>
      </w:pPr>
      <w:r>
        <w:rPr>
          <w:b/>
        </w:rPr>
        <w:t xml:space="preserve">☐ </w:t>
      </w:r>
      <w:r>
        <w:t>Add quantitative palette-adherence and boundary-equality metrics.</w:t>
      </w:r>
    </w:p>
    <w:p>
      <w:pPr>
        <w:ind w:left="216"/>
      </w:pPr>
      <w:r>
        <w:rPr>
          <w:b/>
        </w:rPr>
        <w:t xml:space="preserve">☐ </w:t>
      </w:r>
      <w:r>
        <w:t>Validate tileability by actual repeated-tile visual/quantitative tests rather than seam ratio alone.</w:t>
      </w:r>
    </w:p>
    <w:p>
      <w:pPr>
        <w:ind w:left="216"/>
      </w:pPr>
      <w:r>
        <w:rPr>
          <w:b/>
        </w:rPr>
        <w:t xml:space="preserve">☐ </w:t>
      </w:r>
      <w:r>
        <w:t>Add a human evaluation for aesthetic quality and novelty if these are central claims.</w:t>
      </w:r>
    </w:p>
    <w:p>
      <w:pPr>
        <w:ind w:left="216"/>
      </w:pPr>
      <w:r>
        <w:rPr>
          <w:b/>
        </w:rPr>
        <w:t xml:space="preserve">☐ </w:t>
      </w:r>
      <w:r>
        <w:t>Clarify the exact symmetry-group implementation and terminology.</w:t>
      </w:r>
    </w:p>
    <w:p>
      <w:pPr>
        <w:ind w:left="216"/>
      </w:pPr>
      <w:r>
        <w:rPr>
          <w:b/>
        </w:rPr>
        <w:t xml:space="preserve">☐ </w:t>
      </w:r>
      <w:r>
        <w:t>Provide complete baseline hyperparameters and parameter counts.</w:t>
      </w:r>
    </w:p>
    <w:p>
      <w:pPr>
        <w:ind w:left="216"/>
      </w:pPr>
      <w:r>
        <w:rPr>
          <w:b/>
        </w:rPr>
        <w:t xml:space="preserve">☐ </w:t>
      </w:r>
      <w:r>
        <w:t>Limit claims of printability/industrial readiness unless physical or production-oriented validation is performed.</w:t>
      </w:r>
    </w:p>
    <w:p>
      <w:pPr>
        <w:pStyle w:val="Heading1"/>
      </w:pPr>
      <w:r>
        <w:t>Suggested Editorial Decision After Revision</w:t>
      </w:r>
    </w:p>
    <w:p>
      <w:r>
        <w:t>The manuscript should not be rejected solely because the core idea is unconventional; however, the current experimental protocol does not yet provide an independent and reproducible basis for the strongest claims. A revised submission could be reconsidered after the authors remove test-set use from model development, establish a clean validation protocol, correct the internal inconsistencies, strengthen the ablation and baseline experiments, and moderate claims that are not directly supported by the current measurements.</w:t>
      </w:r>
    </w:p>
    <w:p>
      <w:pPr>
        <w:pStyle w:val="Heading1"/>
      </w:pPr>
      <w:r>
        <w:t>Reviewer Summary</w:t>
      </w:r>
    </w:p>
    <w:p>
      <w:r>
        <w:t>The most important issue is not wording but experimental validity. In the present version, the same held-out test set is involved in novelty-threshold calibration and repeated KID-based checkpoint evaluation, so the final reported metrics cannot be regarded as fully independent. The next most important problems are the contradictory N3/N4 ablation labels, inconsistent 'eleven-metric' claims, overinterpretation of seam ratio as exact tileability/printability, very low coverage recall, and insufficiently reproducible baseline comparisons. These should be addressed before extensive language polishing.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PRISM-GAN — Peer-Review Comments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