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BidSmith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40"/>
          <w:szCs w:val="40"/>
        </w:rPr>
        <w:t xml:space="preserve">GTM War Room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Lead List  ·  Positioning  ·  Email Pitches  ·  30-Day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B4F8A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4F8A"/>
                <w:sz w:val="24"/>
                <w:szCs w:val="24"/>
              </w:rPr>
              <w:t xml:space="preserve">"The fastest path from opportunity discovery to bid/no-bid decision — built for the small gov contractor GovDash ignores."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01. Positioning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BidSmith is the bid intelligence platform for small government contractors — we cut the time from opportunity discovery to bid/no-bid decision from days to minutes, so your team spends time writing winning proposals, not qualifying the wrong ones.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Why Now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LLMs made it viable — for the first time — to automate compliance matrix generation, bid scoring, and RFP analysis at a cost small contractors can actually afford. Two years ago this required a $200K consulting engagement. Today it's a SaaS tool.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Wedge (What Nobody Else Owns)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competitor assumes you've already decided to bid. They help you respond. BidSmith starts before that — the bid/no-bid decision layer. This is where small gov contractors lose the most time: qualifying opportunities they should never have touched.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 the top of the funnel. Then expand downstream into proposal drafting.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Positioning vs. Competitors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300"/>
        <w:gridCol w:w="1200"/>
        <w:gridCol w:w="1860"/>
        <w:gridCol w:w="2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BidSmith Advantage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GovDash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$30M raised (Jan 2026)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Mid–Large contractors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$1,500–$3,000+/mo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lifecycle, enterprise-grade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Going upmarket, ignoring &lt;150 employee firms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Sweetspot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$2.2M seed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SMB gov contractors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public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Opportunity discovery + proposals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Closest competitor — race for same ICP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Thalamus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Unfunded/early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Federal proposal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public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proposal writing, federal-specific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Writing-only, no bid/no-bid layer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AutogenAI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Enterprise-funded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 contractors, agencies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$2,000+/mo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FedRAMP High, full proposal suite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 expensive + complex for SMB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Deltek GovWin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Legacy, public co.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sizes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$500–$2,000+/mo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Opportunity intelligence, tracking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Bloated, no AI, everyone has it but hates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BidSmith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Pre-revenue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20–150 employee gov contractors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$500–$1,500/mo (target)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Bid/no-bid engine + compliance matrices + search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Fastest path to qualified bid decision — the gap nobody owns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02. Cold Email Pitches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Use these three templates. Match template to contact role. Personalize the signal line only — do not change the structure.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Template A: Founder/CEO (Pain-First)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cutting bid/no-bid time for [Company]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Body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 [Name],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Noticed [Company] is active in government contracting — you're likely spending serious time qualifying opportunities before your team even writes a word.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built BidSmith to fix exactly that. Instant bid/no-bid scoring, auto-generated compliance matrices, and a contract search engine — so your team stops chasing the wrong bids.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Worth a 15-min call this week to show you how it works on a live opportunity?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Founder, ARIS Labs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bidsmith.pro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Template B: BD/Capture Director (Efficiency-First)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proposal team's time on the wrong bids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Body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 [Name],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question — how long does your team spend on bid/no-bid decisions before committing to an RFP response?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 capture teams I talk to lose 3–5 hours per opportunity just on qualification. BidSmith cuts that to under 10 minutes with AI-powered scoring + instant compliance matrices.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Happy to show you a live demo on one of your current opportunities. 15 mins?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Founder, ARIS Labs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bidsmith.pro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Template C: Follow-Up (Day 3, $50 Audit Offer)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Re: [Previous Subject]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Body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 [Name],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Wanted to follow up quickly.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week only, we're offering a free BidSmith audit of one of your active bids — we'll run it through our compliance matrix engine and give you a real score on your win probability. No strings attached, takes 20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it's useful, we can talk about how BidSmith fits your workflow. If not, you walk away with a free bid assessment.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Worth it?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Founder, ARIS Labs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bidsmith.pro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Sending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 A → Founders / CEOs of firms &lt;100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 B → BD Directors, Capture Managers, VP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 C → Day 3 follow-up to anyone who opened but didn't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send Template C as the first touch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2.5s between sends. 60s pause between batches of 25.</w:t>
      </w:r>
    </w:p>
    <w:p>
      <w:pPr>
        <w:spacing w:after="0" w:before="80"/>
      </w:pPr>
      <w:r>
        <w:t xml:space="preserve"/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03. Lead List — 18 Contacts, 17 Companies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All contacts sourced from 26 GovCon companies. Verified via LinkedIn and company websites. Priority scored by signal strength and decision-maker access.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00"/>
        <w:gridCol w:w="1600"/>
        <w:gridCol w:w="1700"/>
        <w:gridCol w:w="2400"/>
        <w:gridCol w:w="780"/>
        <w:gridCol w:w="5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Savan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Veeral Majmudar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President &amp; 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vmajmudar@savangroup.com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Active GovCon bidder, 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Global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Courtney Fairchild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President &amp; 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cfairchild@globalservices.com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IT contractor, lea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Base-2 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Dylan Leckie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 &amp; President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dleckie@base-2.com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DoD IT contractor, sma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KAPS 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Pooja Baheti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pbaheti@kapssolutions.com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IT &amp; consulting, 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Avani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Natasha Cox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CEO &amp;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ncox@avaniservices.com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contractor, founde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Centrifuge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Satish Kolli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Co-Founder &amp; 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skolli@centrifuge.com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IT startup, active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Pueo Business 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Micah Mossman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 &amp; 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mmossman@pueobusiness.com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Federal contractor, bi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Significance, Inc.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Mary Ahern Snyder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 &amp; 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mahern@significanceinc.com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consulting, RFP-dr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🔥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ViaTrie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Sherry Gernhofer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Partner &amp; Co-Founder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sgernhofer@viatrie.com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IT, confirmed pref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ThinkTek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Stephen Forgue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VP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sforgue@thinktekgov.com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Gov-focused IT, hiring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TERRESTRIS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Alex Horti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CEO &amp; Co-Founder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ahorti@terrestris.co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DoD/IC contractor, pro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Viderity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Brady Wentlandt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VP Business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bwentlandt@viderity.com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IT, BD-focused con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Pyramid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Doug Sickler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SVP &amp; CGO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dsickler@pyramidsystems.com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Federal IT, growth-foc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Jefferson 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Janet Clement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jclement@jeffersonsolutions.com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IT services, CEO-l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OneZero 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 Sowers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 &amp; 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asowers@onezerosolutions.com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contractor, founde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iWorks Corp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Kumar Gnanamurthy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kgnanamurthy@iworkscorp.com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 services for gov, 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UpSlope Advisors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Aaron Kelley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President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akelley@upslopeadvisors.com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advisory/BD firm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UpSlope Advisors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Robert Dawkins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Director 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rdawkins@upslopeadvisors.com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 advisory/BD firm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 Not Contact (already in sequence):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jennifer.serin@sev1tech.com, andrew.cohen@sev1tech.com, christa.carter@reisystems.com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erin.horrell@intelligentwaves.com, dennis.freeland@intelligentwaves.com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ggodbout@fearless.tech, bchappell@alphaomega.com, acandreva@tantustech.com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gprice@akira-tech.com, mbowers@pragmatics.com, lbuckhout@corvus-consulting-llc.com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pdonlin@buchanan.com, Tyler.Sweatt@secondfront.com, mhopkins@electrosoft-inc.com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jvandemark@sabresystems.com + Day 2 Batch 3 (20 contacts)</w:t>
      </w:r>
    </w:p>
    <w:p>
      <w:pPr>
        <w:spacing w:after="0" w:before="80"/>
      </w:pPr>
      <w:r>
        <w:t xml:space="preserve"/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04. 30-Day First Paying Customer Sprint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Target: One paying customer by April 24, 2026. Working backward from the goal.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 24–30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the 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 10 high-signal companies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BD/Capture/CEO contact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one trigger signal per lead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qualified leads with verified emails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(parallel)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 the 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Rewrite cold email using Templates A/B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2 subject lines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Instantly.ai sending 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ready to send, domain warming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 31–Apr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Send + learn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to all 10 leads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 opens/clicks/replies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Iterate subject line if &lt;30% open 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+ X: 5 DMs/day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1+ reply, 3+ opens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 7–13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on calls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Goal: 3 discovery calls booked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NOT pitch — diagnose pain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Ask: win rate, time per bid, deadline misses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calls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 14–24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Close 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1-page proposal post-call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Price: $500–$1,500/mo pilot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Offer: 60-day pilot with measurable outcome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paying customer ✓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Kills This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Spending Week 1 perfecting the deck instead of building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Sending emails without a verified signal — generic = ignored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Pitching on discovery calls instead of diagnosing 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 under $300/mo — signals low value, kills perceived ROI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Waiting for the product to be 'ready' before selling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Three Proof Points That Get You a YC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paying customers at $500–$1,500/mo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 from this lead list in 30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Measurable win rate improvement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win rate before vs. after for each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founder-market fit 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you? Gov background, domain insight, unfair relationship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05. Campaign Metrics (Live)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 (Mar 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 (Mar 24)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(30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Emails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 (batch 2 + 3)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10+ (&gt;1% rate)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Discovery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booked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Paying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(Cognosante)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&lt;5%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0550A" w:sz="12"/>
              <w:bottom w:val="single" w:color="CCCCCC" w:sz="1"/>
              <w:right w:val="single" w:color="CCCCCC" w:sz="1"/>
            </w:tcBorders>
            <w:shd w:fill="FDE8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0A"/>
                <w:sz w:val="24"/>
                <w:szCs w:val="24"/>
              </w:rPr>
              <w:t xml:space="preserve">⚡ Core Diagnosis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46 emails sent, 0 replies. The problem is likely messaging (no signal-based personalization) + deliverability (no dedicated cold email domain). Fix both before scaling volume.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1B4F8A"/>
          <w:sz w:val="22"/>
          <w:szCs w:val="22"/>
        </w:rPr>
        <w:t xml:space="preserve">RFP activity = intent  ·  Intent = priority  ·  Priority = conversion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bidsmith.pro  |  sid@bidsmith.pro  |  ARIS Labs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C757D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BidSmith | ARIS Labs  </w:t>
    </w:r>
    <w:r>
      <w:rPr>
        <w:rFonts w:ascii="Arial" w:cs="Arial" w:eastAsia="Arial" w:hAnsi="Arial"/>
        <w:color w:val="6C757D"/>
        <w:sz w:val="20"/>
        <w:szCs w:val="20"/>
      </w:rPr>
      <w:t xml:space="preserve">— GTM War Room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2026-03-24T10:23:19.122Z</dcterms:created>
  <dcterms:modified xsi:type="dcterms:W3CDTF">2026-03-24T10:23:19.123Z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