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b174bc27ff6820a7f3f8507a8978c889d9ca58d"/>
    <w:p>
      <w:pPr>
        <w:pStyle w:val="Heading1"/>
      </w:pPr>
      <w:r>
        <w:t xml:space="preserve">Product Requirements Document: NextGen Transaction Banking Portal (S2B-Style)</w:t>
      </w:r>
    </w:p>
    <w:bookmarkStart w:id="22" w:name="overview"/>
    <w:p>
      <w:pPr>
        <w:pStyle w:val="Heading2"/>
      </w:pPr>
      <w:r>
        <w:t xml:space="preserve">Overview</w:t>
      </w:r>
    </w:p>
    <w:p>
      <w:pPr>
        <w:pStyle w:val="FirstParagraph"/>
      </w:pPr>
      <w:r>
        <w:t xml:space="preserve">This document outlines the requirements for a multi-page online banking portal inspired by Standard Chartered’s Straight2Bank NextGen (S2B NextGen) platform</w:t>
      </w:r>
      <w:hyperlink r:id="rId21">
        <w:r>
          <w:rPr>
            <w:rStyle w:val="Hyperlink"/>
          </w:rPr>
          <w:t xml:space="preserve">[1]</w:t>
        </w:r>
      </w:hyperlink>
      <w:r>
        <w:t xml:space="preserve">. The portal will provide a secure, user-friendly interface for performing various financial transactions (NEFT, IMPS, UPI), account inquiries, and beneficiary management. It is designed with a modern React front-end and a microservices back-end architecture to emulate full S2B-like functionality, including login, role-based access, and end-to-end transaction processing integrated with core banking systems (CBS) and internal payment services (e.g. SC Pay, RCMS). The solution will enable Real User Monitoring (RUM) and Application Performance Monitoring (APM) for comprehensive tracking of transactions from the user interface through the back-end services.</w:t>
      </w:r>
    </w:p>
    <w:bookmarkEnd w:id="22"/>
    <w:bookmarkStart w:id="24" w:name="goals-and-objectives"/>
    <w:p>
      <w:pPr>
        <w:pStyle w:val="Heading2"/>
      </w:pPr>
      <w:r>
        <w:t xml:space="preserve">Goals and Objectives</w:t>
      </w:r>
    </w:p>
    <w:p>
      <w:pPr>
        <w:pStyle w:val="Compact"/>
        <w:numPr>
          <w:ilvl w:val="0"/>
          <w:numId w:val="1001"/>
        </w:numPr>
      </w:pPr>
      <w:r>
        <w:rPr>
          <w:b/>
          <w:bCs/>
        </w:rPr>
        <w:t xml:space="preserve">Unified Transaction Platform:</w:t>
      </w:r>
      <w:r>
        <w:t xml:space="preserve"> </w:t>
      </w:r>
      <w:r>
        <w:t xml:space="preserve">Provide corporate and retail users with a single portal to initiate and manage financial transactions (NEFT, IMPS, UPI) and related banking services, similar to S2B NextGen’s all-in-one solution.</w:t>
      </w:r>
    </w:p>
    <w:p>
      <w:pPr>
        <w:pStyle w:val="Compact"/>
        <w:numPr>
          <w:ilvl w:val="0"/>
          <w:numId w:val="1001"/>
        </w:numPr>
      </w:pPr>
      <w:r>
        <w:rPr>
          <w:b/>
          <w:bCs/>
        </w:rPr>
        <w:t xml:space="preserve">User Experience:</w:t>
      </w:r>
      <w:r>
        <w:t xml:space="preserve"> </w:t>
      </w:r>
      <w:r>
        <w:t xml:space="preserve">Deliver a highly intuitive and responsive web interface (built with React) for seamless user interactions, resembling the modernized UI of S2B NextGen which emphasizes usability and contextual insights</w:t>
      </w:r>
      <w:hyperlink r:id="rId21">
        <w:r>
          <w:rPr>
            <w:rStyle w:val="Hyperlink"/>
          </w:rPr>
          <w:t xml:space="preserve">[1]</w:t>
        </w:r>
      </w:hyperlink>
      <w:r>
        <w:t xml:space="preserve">. This includes easy navigation across multiple pages for different services and a consistent look-and-feel across the application.</w:t>
      </w:r>
    </w:p>
    <w:p>
      <w:pPr>
        <w:pStyle w:val="Compact"/>
        <w:numPr>
          <w:ilvl w:val="0"/>
          <w:numId w:val="1001"/>
        </w:numPr>
      </w:pPr>
      <w:r>
        <w:rPr>
          <w:b/>
          <w:bCs/>
        </w:rPr>
        <w:t xml:space="preserve">Security and Compliance:</w:t>
      </w:r>
      <w:r>
        <w:t xml:space="preserve"> </w:t>
      </w:r>
      <w:r>
        <w:t xml:space="preserve">Ensure robust authentication, authorization, and data protection. Implement role-based access control (dual authorization workflow) to mimic corporate banking controls (maker-checker), and enforce security measures (encryption, audit logs, compliance with banking regulations).</w:t>
      </w:r>
    </w:p>
    <w:p>
      <w:pPr>
        <w:pStyle w:val="Compact"/>
        <w:numPr>
          <w:ilvl w:val="0"/>
          <w:numId w:val="1001"/>
        </w:numPr>
      </w:pPr>
      <w:r>
        <w:rPr>
          <w:b/>
          <w:bCs/>
        </w:rPr>
        <w:t xml:space="preserve">Performance and Reliability:</w:t>
      </w:r>
      <w:r>
        <w:t xml:space="preserve"> </w:t>
      </w:r>
      <w:r>
        <w:t xml:space="preserve">The system should handle high volumes of transactions with low latency, and be available 24/7. Use a scalable microservices architecture and on-premise Docker deployment for high availability and easier maintenance.</w:t>
      </w:r>
    </w:p>
    <w:p>
      <w:pPr>
        <w:pStyle w:val="Compact"/>
        <w:numPr>
          <w:ilvl w:val="0"/>
          <w:numId w:val="1001"/>
        </w:numPr>
      </w:pPr>
      <w:r>
        <w:rPr>
          <w:b/>
          <w:bCs/>
        </w:rPr>
        <w:t xml:space="preserve">Observability:</w:t>
      </w:r>
      <w:r>
        <w:t xml:space="preserve"> </w:t>
      </w:r>
      <w:r>
        <w:t xml:space="preserve">Enable end-to-end monitoring of user transactions. Integrate RUM and APM so that every transaction can be traced from the front-end (user action) through each back-end service to external systems, providing full visibility into performance bottlenecks or failures</w:t>
      </w:r>
      <w:hyperlink r:id="rId23">
        <w:r>
          <w:rPr>
            <w:rStyle w:val="Hyperlink"/>
          </w:rPr>
          <w:t xml:space="preserve">[2]</w:t>
        </w:r>
      </w:hyperlink>
      <w:r>
        <w:t xml:space="preserve">.</w:t>
      </w:r>
    </w:p>
    <w:bookmarkEnd w:id="24"/>
    <w:bookmarkStart w:id="26" w:name="target-users-and-roles"/>
    <w:p>
      <w:pPr>
        <w:pStyle w:val="Heading2"/>
      </w:pPr>
      <w:r>
        <w:t xml:space="preserve">Target Users and Roles</w:t>
      </w:r>
    </w:p>
    <w:p>
      <w:pPr>
        <w:pStyle w:val="FirstParagraph"/>
      </w:pPr>
      <w:r>
        <w:t xml:space="preserve">The portal will support</w:t>
      </w:r>
      <w:r>
        <w:t xml:space="preserve"> </w:t>
      </w:r>
      <w:r>
        <w:rPr>
          <w:b/>
          <w:bCs/>
        </w:rPr>
        <w:t xml:space="preserve">multiple user roles</w:t>
      </w:r>
      <w:r>
        <w:t xml:space="preserve">, covering both entry-level users and authorizers, to accommodate typical corporate banking workflows (often called “maker-checker”). In particular:</w:t>
      </w:r>
    </w:p>
    <w:p>
      <w:pPr>
        <w:pStyle w:val="Compact"/>
        <w:numPr>
          <w:ilvl w:val="0"/>
          <w:numId w:val="1002"/>
        </w:numPr>
      </w:pPr>
      <w:r>
        <w:rPr>
          <w:b/>
          <w:bCs/>
        </w:rPr>
        <w:t xml:space="preserve">Initiator (Maker):</w:t>
      </w:r>
      <w:r>
        <w:t xml:space="preserve"> </w:t>
      </w:r>
      <w:r>
        <w:t xml:space="preserve">A user who can log in and initiate transactions (payments or service requests). This role enters transaction details (fund transfers, adding beneficiaries, etc.) but cannot alone finalize high-value transactions.</w:t>
      </w:r>
    </w:p>
    <w:p>
      <w:pPr>
        <w:pStyle w:val="Compact"/>
        <w:numPr>
          <w:ilvl w:val="0"/>
          <w:numId w:val="1002"/>
        </w:numPr>
      </w:pPr>
      <w:r>
        <w:rPr>
          <w:b/>
          <w:bCs/>
        </w:rPr>
        <w:t xml:space="preserve">Approver (Checker):</w:t>
      </w:r>
      <w:r>
        <w:t xml:space="preserve"> </w:t>
      </w:r>
      <w:r>
        <w:t xml:space="preserve">A user who reviews and approves transactions initiated by a Maker before they are processed. Approvers have the authority to authorize or reject pending instructions</w:t>
      </w:r>
      <w:hyperlink r:id="rId25">
        <w:r>
          <w:rPr>
            <w:rStyle w:val="Hyperlink"/>
          </w:rPr>
          <w:t xml:space="preserve">[3]</w:t>
        </w:r>
      </w:hyperlink>
      <w:r>
        <w:t xml:space="preserve">.</w:t>
      </w:r>
    </w:p>
    <w:p>
      <w:pPr>
        <w:pStyle w:val="Compact"/>
        <w:numPr>
          <w:ilvl w:val="0"/>
          <w:numId w:val="1002"/>
        </w:numPr>
      </w:pPr>
      <w:r>
        <w:rPr>
          <w:b/>
          <w:bCs/>
        </w:rPr>
        <w:t xml:space="preserve">Viewer (Read-Only, optional):</w:t>
      </w:r>
      <w:r>
        <w:t xml:space="preserve"> </w:t>
      </w:r>
      <w:r>
        <w:t xml:space="preserve">A role (if needed) that can view account information, balances, and transaction status, but cannot initiate or approve transactions</w:t>
      </w:r>
      <w:hyperlink r:id="rId25">
        <w:r>
          <w:rPr>
            <w:rStyle w:val="Hyperlink"/>
          </w:rPr>
          <w:t xml:space="preserve">[3]</w:t>
        </w:r>
      </w:hyperlink>
      <w:r>
        <w:t xml:space="preserve">. This may be used for audit or inquiry-only access.</w:t>
      </w:r>
    </w:p>
    <w:p>
      <w:pPr>
        <w:pStyle w:val="FirstParagraph"/>
      </w:pPr>
      <w:r>
        <w:t xml:space="preserve">Both retail customers and corporate clients are envisioned as end users (“both” user types), but the design prioritizes a corporate scenario with dual-control. The system must enforce appropriate access controls so that each user only sees and acts on functionalities permitted by their role. For example, a Maker can draft a NEFT payment, which then awaits an Approver’s authorization before submission.</w:t>
      </w:r>
    </w:p>
    <w:bookmarkEnd w:id="26"/>
    <w:bookmarkStart w:id="27" w:name="front-end-requirements-react-ui"/>
    <w:p>
      <w:pPr>
        <w:pStyle w:val="Heading2"/>
      </w:pPr>
      <w:r>
        <w:t xml:space="preserve">Front-End Requirements (React UI)</w:t>
      </w:r>
    </w:p>
    <w:p>
      <w:pPr>
        <w:pStyle w:val="Compact"/>
        <w:numPr>
          <w:ilvl w:val="0"/>
          <w:numId w:val="1003"/>
        </w:numPr>
      </w:pPr>
      <w:r>
        <w:rPr>
          <w:b/>
          <w:bCs/>
        </w:rPr>
        <w:t xml:space="preserve">Framework:</w:t>
      </w:r>
      <w:r>
        <w:t xml:space="preserve"> </w:t>
      </w:r>
      <w:r>
        <w:t xml:space="preserve">The front-end will be built using</w:t>
      </w:r>
      <w:r>
        <w:t xml:space="preserve"> </w:t>
      </w:r>
      <w:r>
        <w:rPr>
          <w:b/>
          <w:bCs/>
        </w:rPr>
        <w:t xml:space="preserve">React</w:t>
      </w:r>
      <w:r>
        <w:t xml:space="preserve"> </w:t>
      </w:r>
      <w:r>
        <w:t xml:space="preserve">(JavaScript/TypeScript). React is chosen for its component-based architecture and rich ecosystem, enabling a dynamic, responsive single-page application that behaves like a multi-page site via routing.</w:t>
      </w:r>
    </w:p>
    <w:p>
      <w:pPr>
        <w:pStyle w:val="Compact"/>
        <w:numPr>
          <w:ilvl w:val="0"/>
          <w:numId w:val="1003"/>
        </w:numPr>
      </w:pPr>
      <w:r>
        <w:rPr>
          <w:b/>
          <w:bCs/>
        </w:rPr>
        <w:t xml:space="preserve">Multi-Page Interface:</w:t>
      </w:r>
      <w:r>
        <w:t xml:space="preserve"> </w:t>
      </w:r>
      <w:r>
        <w:t xml:space="preserve">Utilize React Router (or equivalent) to create a multi-page feel, with separate views/pages for Login, Dashboard, Fund Transfers (NEFT/IMPS/UPI), Beneficiaries, Transaction History, etc. Each main feature should have its own dedicated page accessible via navigation links (no functionality hidden behind unimplemented links).</w:t>
      </w:r>
    </w:p>
    <w:p>
      <w:pPr>
        <w:pStyle w:val="Compact"/>
        <w:numPr>
          <w:ilvl w:val="0"/>
          <w:numId w:val="1003"/>
        </w:numPr>
      </w:pPr>
      <w:r>
        <w:rPr>
          <w:b/>
          <w:bCs/>
        </w:rPr>
        <w:t xml:space="preserve">Responsive Design:</w:t>
      </w:r>
      <w:r>
        <w:t xml:space="preserve"> </w:t>
      </w:r>
      <w:r>
        <w:t xml:space="preserve">The UI should be mobile-friendly and responsive, ensuring usability across various devices and screen sizes (though primary usage is web, an S2B-like platform should also support tablets or resized windows). Use a modern UI library or design system for consistency (e.g. Material-UI or Bootstrap with a custom theme matching corporate branding).</w:t>
      </w:r>
    </w:p>
    <w:p>
      <w:pPr>
        <w:pStyle w:val="Compact"/>
        <w:numPr>
          <w:ilvl w:val="0"/>
          <w:numId w:val="1003"/>
        </w:numPr>
      </w:pPr>
      <w:r>
        <w:rPr>
          <w:b/>
          <w:bCs/>
        </w:rPr>
        <w:t xml:space="preserve">Login Page &amp; Authentication UX:</w:t>
      </w:r>
      <w:r>
        <w:t xml:space="preserve"> </w:t>
      </w:r>
      <w:r>
        <w:t xml:space="preserve">Provide a secure login page with username/password input and support for two-factor authentication (e.g. OTP or soft token) for added security (especially for high-risk transactions). The login flow should include validations, error feedback, and possibly CAPTCHA or fraud detection measures. On successful login, users are taken to a dashboard.</w:t>
      </w:r>
    </w:p>
    <w:p>
      <w:pPr>
        <w:pStyle w:val="Compact"/>
        <w:numPr>
          <w:ilvl w:val="0"/>
          <w:numId w:val="1003"/>
        </w:numPr>
      </w:pPr>
      <w:r>
        <w:rPr>
          <w:b/>
          <w:bCs/>
        </w:rPr>
        <w:t xml:space="preserve">Dashboard:</w:t>
      </w:r>
      <w:r>
        <w:t xml:space="preserve"> </w:t>
      </w:r>
      <w:r>
        <w:t xml:space="preserve">After login, display an overview dashboard showing key information (e.g. account balances, recent transactions, notifications). The design may allow personalization similar to S2B NextGen’s customizable dashboard cards</w:t>
      </w:r>
      <w:hyperlink r:id="rId21">
        <w:r>
          <w:rPr>
            <w:rStyle w:val="Hyperlink"/>
          </w:rPr>
          <w:t xml:space="preserve">[1]</w:t>
        </w:r>
      </w:hyperlink>
      <w:r>
        <w:t xml:space="preserve">, where users can arrange widgets (balance summary, pending approvals, etc.). This can be a stretch goal; initially a fixed dashboard with important links suffices.</w:t>
      </w:r>
    </w:p>
    <w:p>
      <w:pPr>
        <w:pStyle w:val="Compact"/>
        <w:numPr>
          <w:ilvl w:val="0"/>
          <w:numId w:val="1003"/>
        </w:numPr>
      </w:pPr>
      <w:r>
        <w:rPr>
          <w:b/>
          <w:bCs/>
        </w:rPr>
        <w:t xml:space="preserve">Navigation &amp; Workflow:</w:t>
      </w:r>
      <w:r>
        <w:t xml:space="preserve"> </w:t>
      </w:r>
      <w:r>
        <w:t xml:space="preserve">Provide a clear navigation menu for all main functions (Payments, Beneficiaries, Accounts, etc.). The UI should guide the user through workflows (e.g. a step-by-step form for initiating a NEFT transfer). Use client-side form validations for required fields (e.g. beneficiary details, amounts) and provide helpful error messages. After form submission, show confirmation dialogs and transaction reference numbers.</w:t>
      </w:r>
    </w:p>
    <w:p>
      <w:pPr>
        <w:pStyle w:val="Compact"/>
        <w:numPr>
          <w:ilvl w:val="0"/>
          <w:numId w:val="1003"/>
        </w:numPr>
      </w:pPr>
      <w:r>
        <w:rPr>
          <w:b/>
          <w:bCs/>
        </w:rPr>
        <w:t xml:space="preserve">State Management:</w:t>
      </w:r>
      <w:r>
        <w:t xml:space="preserve"> </w:t>
      </w:r>
      <w:r>
        <w:t xml:space="preserve">Use React state management (Context API or Redux if needed) to handle user session data (e.g. logged-in user info, roles, JWT token) and to pass data between pages. Ensure sensitive data (like auth tokens) are handled securely on the client (prefer HTTP-only cookies or secure storage).</w:t>
      </w:r>
    </w:p>
    <w:p>
      <w:pPr>
        <w:pStyle w:val="Compact"/>
        <w:numPr>
          <w:ilvl w:val="0"/>
          <w:numId w:val="1003"/>
        </w:numPr>
      </w:pPr>
      <w:r>
        <w:rPr>
          <w:b/>
          <w:bCs/>
        </w:rPr>
        <w:t xml:space="preserve">Error Handling &amp; Feedback:</w:t>
      </w:r>
      <w:r>
        <w:t xml:space="preserve"> </w:t>
      </w:r>
      <w:r>
        <w:t xml:space="preserve">The UI must gracefully handle errors (e.g. failed transactions, network issues). Display user-friendly error messages and success confirmations. For example, if a UPI payment fails, show the reason and suggest next steps.</w:t>
      </w:r>
    </w:p>
    <w:p>
      <w:pPr>
        <w:pStyle w:val="Compact"/>
        <w:numPr>
          <w:ilvl w:val="0"/>
          <w:numId w:val="1003"/>
        </w:numPr>
      </w:pPr>
      <w:r>
        <w:rPr>
          <w:b/>
          <w:bCs/>
        </w:rPr>
        <w:t xml:space="preserve">Accessibility &amp; UX:</w:t>
      </w:r>
      <w:r>
        <w:t xml:space="preserve"> </w:t>
      </w:r>
      <w:r>
        <w:t xml:space="preserve">Follow accessibility best practices (WCAG guidelines) so that the portal is usable by people with disabilities (e.g. proper ARIA labels, keyboard navigation). The design should be clean and professional, reflecting a banking application (consistent fonts, colors aligning with the bank’s brand).</w:t>
      </w:r>
    </w:p>
    <w:bookmarkEnd w:id="27"/>
    <w:bookmarkStart w:id="31" w:name="back-end-architecture-and-services"/>
    <w:p>
      <w:pPr>
        <w:pStyle w:val="Heading2"/>
      </w:pPr>
      <w:r>
        <w:t xml:space="preserve">Back-End Architecture and Services</w:t>
      </w:r>
    </w:p>
    <w:p>
      <w:pPr>
        <w:pStyle w:val="FirstParagraph"/>
      </w:pPr>
      <w:r>
        <w:rPr>
          <w:b/>
          <w:bCs/>
        </w:rPr>
        <w:t xml:space="preserve">Architecture:</w:t>
      </w:r>
      <w:r>
        <w:t xml:space="preserve"> </w:t>
      </w:r>
      <w:r>
        <w:t xml:space="preserve">The back-end will use a</w:t>
      </w:r>
      <w:r>
        <w:t xml:space="preserve"> </w:t>
      </w:r>
      <w:r>
        <w:rPr>
          <w:b/>
          <w:bCs/>
        </w:rPr>
        <w:t xml:space="preserve">microservices architecture</w:t>
      </w:r>
      <w:r>
        <w:t xml:space="preserve">, with each service encapsulating specific business capabilities. Services will be developed in a</w:t>
      </w:r>
      <w:r>
        <w:t xml:space="preserve"> </w:t>
      </w:r>
      <w:r>
        <w:rPr>
          <w:b/>
          <w:bCs/>
        </w:rPr>
        <w:t xml:space="preserve">polyglot</w:t>
      </w:r>
      <w:r>
        <w:t xml:space="preserve"> </w:t>
      </w:r>
      <w:r>
        <w:t xml:space="preserve">manner – leveraging Go, Java, Python, .NET as appropriate – allowing each component to use the language/tech stack best suited for its function</w:t>
      </w:r>
      <w:hyperlink r:id="rId28">
        <w:r>
          <w:rPr>
            <w:rStyle w:val="Hyperlink"/>
          </w:rPr>
          <w:t xml:space="preserve">[4]</w:t>
        </w:r>
      </w:hyperlink>
      <w:r>
        <w:t xml:space="preserve">. This approach provides flexibility to use the right tool for each job (e.g. Go for lightweight high-performance APIs, Java or .NET for complex transaction logic, Python for scripting or integration tasks)</w:t>
      </w:r>
      <w:hyperlink r:id="rId28">
        <w:r>
          <w:rPr>
            <w:rStyle w:val="Hyperlink"/>
          </w:rPr>
          <w:t xml:space="preserve">[4]</w:t>
        </w:r>
      </w:hyperlink>
      <w:r>
        <w:t xml:space="preserve">. All services will expose RESTful APIs (or gRPC endpoints where appropriate) and communicate over secure network calls. Key back-end services include:</w:t>
      </w:r>
    </w:p>
    <w:p>
      <w:pPr>
        <w:pStyle w:val="Compact"/>
        <w:numPr>
          <w:ilvl w:val="0"/>
          <w:numId w:val="1004"/>
        </w:numPr>
      </w:pPr>
      <w:r>
        <w:rPr>
          <w:b/>
          <w:bCs/>
        </w:rPr>
        <w:t xml:space="preserve">Authentication Service:</w:t>
      </w:r>
      <w:r>
        <w:t xml:space="preserve"> </w:t>
      </w:r>
      <w:r>
        <w:t xml:space="preserve">Manages user login, logout, and session validation. Likely implemented in a robust language like</w:t>
      </w:r>
      <w:r>
        <w:t xml:space="preserve"> </w:t>
      </w:r>
      <w:r>
        <w:rPr>
          <w:b/>
          <w:bCs/>
        </w:rPr>
        <w:t xml:space="preserve">.NET or Java</w:t>
      </w:r>
      <w:r>
        <w:t xml:space="preserve"> </w:t>
      </w:r>
      <w:r>
        <w:t xml:space="preserve">(for enterprise-grade security libraries) and responsible for verifying credentials (potentially integrating with an LDAP/AD or OAuth2 server), issuing JWT tokens or session IDs, and enforcing role-based access. It should also handle 2FA verification if enabled.</w:t>
      </w:r>
    </w:p>
    <w:p>
      <w:pPr>
        <w:pStyle w:val="Compact"/>
        <w:numPr>
          <w:ilvl w:val="0"/>
          <w:numId w:val="1004"/>
        </w:numPr>
      </w:pPr>
      <w:r>
        <w:rPr>
          <w:b/>
          <w:bCs/>
        </w:rPr>
        <w:t xml:space="preserve">User Management Service:</w:t>
      </w:r>
      <w:r>
        <w:t xml:space="preserve"> </w:t>
      </w:r>
      <w:r>
        <w:t xml:space="preserve">(If separate from Auth) Handles user profiles, role assignments, and permission management. Admin functions to create or modify users would be included (though admin UI is out of current scope).</w:t>
      </w:r>
    </w:p>
    <w:p>
      <w:pPr>
        <w:pStyle w:val="Compact"/>
        <w:numPr>
          <w:ilvl w:val="0"/>
          <w:numId w:val="1004"/>
        </w:numPr>
      </w:pPr>
      <w:r>
        <w:rPr>
          <w:b/>
          <w:bCs/>
        </w:rPr>
        <w:t xml:space="preserve">Payments Service:</w:t>
      </w:r>
      <w:r>
        <w:t xml:space="preserve"> </w:t>
      </w:r>
      <w:r>
        <w:t xml:space="preserve">Core service to process fund transfers. This service will orchestrate NEFT, IMPS, and UPI transactions:</w:t>
      </w:r>
    </w:p>
    <w:p>
      <w:pPr>
        <w:pStyle w:val="Compact"/>
        <w:numPr>
          <w:ilvl w:val="0"/>
          <w:numId w:val="1004"/>
        </w:numPr>
      </w:pPr>
      <w:r>
        <w:t xml:space="preserve">It exposes endpoints like</w:t>
      </w:r>
      <w:r>
        <w:t xml:space="preserve"> </w:t>
      </w:r>
      <w:r>
        <w:rPr>
          <w:rStyle w:val="VerbatimChar"/>
        </w:rPr>
        <w:t xml:space="preserve">/payments/neft</w:t>
      </w:r>
      <w:r>
        <w:t xml:space="preserve">,</w:t>
      </w:r>
      <w:r>
        <w:t xml:space="preserve"> </w:t>
      </w:r>
      <w:r>
        <w:rPr>
          <w:rStyle w:val="VerbatimChar"/>
        </w:rPr>
        <w:t xml:space="preserve">/payments/imps</w:t>
      </w:r>
      <w:r>
        <w:t xml:space="preserve">,</w:t>
      </w:r>
      <w:r>
        <w:t xml:space="preserve"> </w:t>
      </w:r>
      <w:r>
        <w:rPr>
          <w:rStyle w:val="VerbatimChar"/>
        </w:rPr>
        <w:t xml:space="preserve">/payments/upi</w:t>
      </w:r>
      <w:r>
        <w:t xml:space="preserve"> </w:t>
      </w:r>
      <w:r>
        <w:t xml:space="preserve">for the front-end to call when a user submits a transfer.</w:t>
      </w:r>
    </w:p>
    <w:p>
      <w:pPr>
        <w:pStyle w:val="Compact"/>
        <w:numPr>
          <w:ilvl w:val="0"/>
          <w:numId w:val="1004"/>
        </w:numPr>
      </w:pPr>
      <w:r>
        <w:rPr>
          <w:b/>
          <w:bCs/>
        </w:rPr>
        <w:t xml:space="preserve">NEFT:</w:t>
      </w:r>
      <w:r>
        <w:t xml:space="preserve"> </w:t>
      </w:r>
      <w:r>
        <w:t xml:space="preserve">The service validates the request (amount limits, cut-off timing, beneficiary account details) and interacts with the bank’s NEFT processing gateway. NEFT transactions might be queued or sent to a scheduled batch, but since RBI NEFT is now 24x7, the service can process in near-real-time. The service will connect to internal systems (via SC Pay or directly to CBS) to debit the source account and prepare an outward NEFT message.</w:t>
      </w:r>
    </w:p>
    <w:p>
      <w:pPr>
        <w:pStyle w:val="Compact"/>
        <w:numPr>
          <w:ilvl w:val="0"/>
          <w:numId w:val="1004"/>
        </w:numPr>
      </w:pPr>
      <w:r>
        <w:rPr>
          <w:b/>
          <w:bCs/>
        </w:rPr>
        <w:t xml:space="preserve">IMPS:</w:t>
      </w:r>
      <w:r>
        <w:t xml:space="preserve"> </w:t>
      </w:r>
      <w:r>
        <w:t xml:space="preserve">The service validates IMPS requests (typically IMPS has lower upper limit, e.g. ₹5 lakh). It then calls the Immediate Payment Service switch (NPCI interface) likely through an internal payment hub (which could be SC Pay) to execute the transfer instantly. It will handle the immediate success/failure response and update transaction status accordingly.</w:t>
      </w:r>
    </w:p>
    <w:p>
      <w:pPr>
        <w:pStyle w:val="Compact"/>
        <w:numPr>
          <w:ilvl w:val="0"/>
          <w:numId w:val="1004"/>
        </w:numPr>
      </w:pPr>
      <w:r>
        <w:rPr>
          <w:b/>
          <w:bCs/>
        </w:rPr>
        <w:t xml:space="preserve">UPI:</w:t>
      </w:r>
      <w:r>
        <w:t xml:space="preserve"> </w:t>
      </w:r>
      <w:r>
        <w:t xml:space="preserve">The service handles UPI payments by interacting with the UPI infrastructure. This could be through an internal UPI switch or a third-party API. The user can specify a VPA (Virtual Payment Address) or UPI ID of the beneficiary. The service will integrate with the UPI payment gateway (could be part of</w:t>
      </w:r>
      <w:r>
        <w:t xml:space="preserve"> </w:t>
      </w:r>
      <w:r>
        <w:rPr>
          <w:b/>
          <w:bCs/>
        </w:rPr>
        <w:t xml:space="preserve">SC Pay</w:t>
      </w:r>
      <w:r>
        <w:t xml:space="preserve"> </w:t>
      </w:r>
      <w:r>
        <w:t xml:space="preserve">internal service) to send a collect/pay request and confirm the transfer instantly.</w:t>
      </w:r>
    </w:p>
    <w:p>
      <w:pPr>
        <w:pStyle w:val="Compact"/>
        <w:numPr>
          <w:ilvl w:val="0"/>
          <w:numId w:val="1004"/>
        </w:numPr>
      </w:pPr>
      <w:r>
        <w:t xml:space="preserve">The Payments Service ensures all outgoing payments are logged and also sends transaction data to the Core Banking System (CBS) for ledger update. It might break down into sub-services (one per payment type) internally, but from the perspective of the PRD, a unified service or module handles all fund transfers.</w:t>
      </w:r>
    </w:p>
    <w:p>
      <w:pPr>
        <w:pStyle w:val="Compact"/>
        <w:numPr>
          <w:ilvl w:val="0"/>
          <w:numId w:val="1004"/>
        </w:numPr>
      </w:pPr>
      <w:r>
        <w:rPr>
          <w:b/>
          <w:bCs/>
        </w:rPr>
        <w:t xml:space="preserve">Accounts Service:</w:t>
      </w:r>
      <w:r>
        <w:t xml:space="preserve"> </w:t>
      </w:r>
      <w:r>
        <w:t xml:space="preserve">Provides account-related functionalities such as retrieving account balance, transaction history, and account statements. When a user checks their balance or views recent transactions, this service fetches data from the</w:t>
      </w:r>
      <w:r>
        <w:t xml:space="preserve"> </w:t>
      </w:r>
      <w:r>
        <w:rPr>
          <w:b/>
          <w:bCs/>
        </w:rPr>
        <w:t xml:space="preserve">Core Banking System (CBS)</w:t>
      </w:r>
      <w:r>
        <w:t xml:space="preserve"> </w:t>
      </w:r>
      <w:r>
        <w:t xml:space="preserve">in real-time. For performance, it may cache some data, but must ensure consistency with the source of truth (CBS).</w:t>
      </w:r>
    </w:p>
    <w:p>
      <w:pPr>
        <w:pStyle w:val="Compact"/>
        <w:numPr>
          <w:ilvl w:val="0"/>
          <w:numId w:val="1004"/>
        </w:numPr>
      </w:pPr>
      <w:r>
        <w:rPr>
          <w:b/>
          <w:bCs/>
        </w:rPr>
        <w:t xml:space="preserve">Beneficiary Management Service:</w:t>
      </w:r>
      <w:r>
        <w:t xml:space="preserve"> </w:t>
      </w:r>
      <w:r>
        <w:t xml:space="preserve">Manages payee/beneficiary data. It allows adding a new beneficiary (with details like account number &amp; IFSC for NEFT/IMPS, or UPI ID, etc.), editing or deleting beneficiaries, and listing saved beneficiaries. This service will enforce any bank policies (for example, a cooling-off period before a new beneficiary can be used for large transfers, if applicable). It interacts with internal systems to store beneficiary info securely (likely in an encrypted form in a database) and possibly trigger notifications (e.g. SMS/Email to user upon new beneficiary addition).</w:t>
      </w:r>
    </w:p>
    <w:p>
      <w:pPr>
        <w:pStyle w:val="Compact"/>
        <w:numPr>
          <w:ilvl w:val="0"/>
          <w:numId w:val="1004"/>
        </w:numPr>
      </w:pPr>
      <w:r>
        <w:rPr>
          <w:b/>
          <w:bCs/>
        </w:rPr>
        <w:t xml:space="preserve">Transaction Monitoring/Status Service:</w:t>
      </w:r>
      <w:r>
        <w:t xml:space="preserve"> </w:t>
      </w:r>
      <w:r>
        <w:t xml:space="preserve">Tracks the status of transactions from initiation to completion. For NEFT/IMPS/UPI, it can provide status updates (pending, success, failed). This service may receive callbacks or polling updates from payment networks (e.g. acknowledgment from NEFT, response from IMPS/UPI) and update a status database. Users (and the front-end) can query this service to get the latest status of a specific transaction or fetch a list of past transactions. Alternatively, this could be part of the Payments service logic.</w:t>
      </w:r>
    </w:p>
    <w:p>
      <w:pPr>
        <w:pStyle w:val="Compact"/>
        <w:numPr>
          <w:ilvl w:val="0"/>
          <w:numId w:val="1004"/>
        </w:numPr>
      </w:pPr>
      <w:r>
        <w:rPr>
          <w:b/>
          <w:bCs/>
        </w:rPr>
        <w:t xml:space="preserve">Integration Adapters:</w:t>
      </w:r>
      <w:r>
        <w:t xml:space="preserve"> </w:t>
      </w:r>
      <w:r>
        <w:t xml:space="preserve">The system will incorporate adapters or connectors to interface with</w:t>
      </w:r>
      <w:r>
        <w:t xml:space="preserve"> </w:t>
      </w:r>
      <w:r>
        <w:rPr>
          <w:b/>
          <w:bCs/>
        </w:rPr>
        <w:t xml:space="preserve">external/internal systems</w:t>
      </w:r>
      <w:r>
        <w:t xml:space="preserve"> </w:t>
      </w:r>
      <w:r>
        <w:t xml:space="preserve">required for transaction processing:</w:t>
      </w:r>
    </w:p>
    <w:p>
      <w:pPr>
        <w:pStyle w:val="Compact"/>
        <w:numPr>
          <w:ilvl w:val="0"/>
          <w:numId w:val="1004"/>
        </w:numPr>
      </w:pPr>
      <w:r>
        <w:rPr>
          <w:b/>
          <w:bCs/>
        </w:rPr>
        <w:t xml:space="preserve">SC Pay:</w:t>
      </w:r>
      <w:r>
        <w:t xml:space="preserve"> </w:t>
      </w:r>
      <w:r>
        <w:t xml:space="preserve">An internal payments gateway that routes transactions through various channels. The portal’s Payment service will call SC Pay APIs to actually execute NEFT/IMPS/UPI transfers, as SC Pay supports sending/receiving funds in real-time</w:t>
      </w:r>
      <w:hyperlink r:id="rId29">
        <w:r>
          <w:rPr>
            <w:rStyle w:val="Hyperlink"/>
          </w:rPr>
          <w:t xml:space="preserve">[5]</w:t>
        </w:r>
      </w:hyperlink>
      <w:r>
        <w:t xml:space="preserve">.</w:t>
      </w:r>
    </w:p>
    <w:p>
      <w:pPr>
        <w:pStyle w:val="Compact"/>
        <w:numPr>
          <w:ilvl w:val="0"/>
          <w:numId w:val="1004"/>
        </w:numPr>
      </w:pPr>
      <w:r>
        <w:rPr>
          <w:b/>
          <w:bCs/>
        </w:rPr>
        <w:t xml:space="preserve">RCMS (Receivables &amp; Collections Management System):</w:t>
      </w:r>
      <w:r>
        <w:t xml:space="preserve"> </w:t>
      </w:r>
      <w:r>
        <w:t xml:space="preserve">If the portal will handle incoming payments or direct debit collections, it will integrate with RCMS. RCMS provides a complete collection processing facility (from instrument entry to liquidation, accounting, charges) for the bank</w:t>
      </w:r>
      <w:hyperlink r:id="rId30">
        <w:r>
          <w:rPr>
            <w:rStyle w:val="Hyperlink"/>
          </w:rPr>
          <w:t xml:space="preserve">[6]</w:t>
        </w:r>
      </w:hyperlink>
      <w:r>
        <w:t xml:space="preserve">. In our context, RCMS integration could allow the portal to display inbound transactions (like incoming NEFT/IMPS credits, or status of deposited cheques) to users or to initiate collection requests. (Note: For the initial scope, RCMS integration is primarily to ensure incoming payments are reflected; detailed RCMS features might be phased in later.)</w:t>
      </w:r>
    </w:p>
    <w:p>
      <w:pPr>
        <w:numPr>
          <w:ilvl w:val="0"/>
          <w:numId w:val="1004"/>
        </w:numPr>
      </w:pPr>
      <w:r>
        <w:rPr>
          <w:b/>
          <w:bCs/>
        </w:rPr>
        <w:t xml:space="preserve">CBS (Core Banking System):</w:t>
      </w:r>
      <w:r>
        <w:t xml:space="preserve"> </w:t>
      </w:r>
      <w:r>
        <w:t xml:space="preserve">The definitive system-of-record for all accounts and transactions. All financial actions must be recorded in CBS. The portal’s services will use secure APIs or message queues to post transactions to the CBS (e.g. debit source account for a NEFT, credit account for incoming payment) and to query account information (balance, transaction history). The integration with CBS must ensure consistency and handle failures gracefully (e.g. if CBS is down or slow, queue transactions or show appropriate error to user).</w:t>
      </w:r>
    </w:p>
    <w:p>
      <w:pPr>
        <w:numPr>
          <w:ilvl w:val="0"/>
          <w:numId w:val="1004"/>
        </w:numPr>
      </w:pPr>
      <w:r>
        <w:rPr>
          <w:b/>
          <w:bCs/>
        </w:rPr>
        <w:t xml:space="preserve">Common Utilities:</w:t>
      </w:r>
      <w:r>
        <w:t xml:space="preserve"> </w:t>
      </w:r>
      <w:r>
        <w:t xml:space="preserve">Logging, notification, and error-handling components will be present. For example, a</w:t>
      </w:r>
      <w:r>
        <w:t xml:space="preserve"> </w:t>
      </w:r>
      <w:r>
        <w:rPr>
          <w:b/>
          <w:bCs/>
        </w:rPr>
        <w:t xml:space="preserve">Notification Service</w:t>
      </w:r>
      <w:r>
        <w:t xml:space="preserve"> </w:t>
      </w:r>
      <w:r>
        <w:t xml:space="preserve">could send out email/SMS alerts for key events (payment initiated, approved, completed or beneficiary added). A</w:t>
      </w:r>
      <w:r>
        <w:t xml:space="preserve"> </w:t>
      </w:r>
      <w:r>
        <w:rPr>
          <w:b/>
          <w:bCs/>
        </w:rPr>
        <w:t xml:space="preserve">Logging/Audit Service</w:t>
      </w:r>
      <w:r>
        <w:t xml:space="preserve"> </w:t>
      </w:r>
      <w:r>
        <w:t xml:space="preserve">can record user actions for compliance (who did what and when), which is crucial in banking.</w:t>
      </w:r>
    </w:p>
    <w:p>
      <w:pPr>
        <w:pStyle w:val="FirstParagraph"/>
      </w:pPr>
      <w:r>
        <w:t xml:space="preserve">All microservices will be containerized (Docker) and communicate over a secure network within the deployment environment. API Gateway or load balancers may front these services to route requests from the front-end. Each service will include comprehensive validation and error management to ensure that invalid or fraudulent requests are caught early. Additionally, the architecture should allow scaling critical services (like Payments) independently to handle increasing load.</w:t>
      </w:r>
    </w:p>
    <w:bookmarkEnd w:id="31"/>
    <w:bookmarkStart w:id="41" w:name="functional-scope-and-requirements"/>
    <w:p>
      <w:pPr>
        <w:pStyle w:val="Heading2"/>
      </w:pPr>
      <w:r>
        <w:t xml:space="preserve">Functional Scope and Requirements</w:t>
      </w:r>
    </w:p>
    <w:bookmarkStart w:id="32" w:name="authentication-user-session"/>
    <w:p>
      <w:pPr>
        <w:pStyle w:val="Heading3"/>
      </w:pPr>
      <w:r>
        <w:t xml:space="preserve">Authentication &amp; User Session</w:t>
      </w:r>
    </w:p>
    <w:p>
      <w:pPr>
        <w:pStyle w:val="Compact"/>
        <w:numPr>
          <w:ilvl w:val="0"/>
          <w:numId w:val="1005"/>
        </w:numPr>
      </w:pPr>
      <w:r>
        <w:rPr>
          <w:b/>
          <w:bCs/>
        </w:rPr>
        <w:t xml:space="preserve">User Login/Logout:</w:t>
      </w:r>
      <w:r>
        <w:t xml:space="preserve"> </w:t>
      </w:r>
      <w:r>
        <w:t xml:space="preserve">The system must authenticate users via a login page. Credentials will be verified against the Authentication Service. On success, a secure session is established (e.g. JWT token issued to the client). Users can log out, which will invalidate the session on the server.</w:t>
      </w:r>
    </w:p>
    <w:p>
      <w:pPr>
        <w:pStyle w:val="Compact"/>
        <w:numPr>
          <w:ilvl w:val="0"/>
          <w:numId w:val="1005"/>
        </w:numPr>
      </w:pPr>
      <w:r>
        <w:rPr>
          <w:b/>
          <w:bCs/>
        </w:rPr>
        <w:t xml:space="preserve">Role-Based Access Control:</w:t>
      </w:r>
      <w:r>
        <w:t xml:space="preserve"> </w:t>
      </w:r>
      <w:r>
        <w:t xml:space="preserve">After login, the system uses the user’s role to determine accessible features. For instance, an Initiator will see options to create payments but not approve them, whereas an Approver sees the list of pending transactions to authorize. Enforce that restricted pages (like an Approver screen) cannot be accessed by unauthorized roles (the front-end should hide them and the back-end should double-check permissions on every request).</w:t>
      </w:r>
    </w:p>
    <w:p>
      <w:pPr>
        <w:pStyle w:val="Compact"/>
        <w:numPr>
          <w:ilvl w:val="0"/>
          <w:numId w:val="1005"/>
        </w:numPr>
      </w:pPr>
      <w:r>
        <w:rPr>
          <w:b/>
          <w:bCs/>
        </w:rPr>
        <w:t xml:space="preserve">Two-Factor Authentication (2FA):</w:t>
      </w:r>
      <w:r>
        <w:t xml:space="preserve"> </w:t>
      </w:r>
      <w:r>
        <w:t xml:space="preserve">(If required by policy) Support sending an OTP or using an authenticator app as a second step after password login. The requirement will be configurable (could be mandatory for all logins or only for high-risk actions).</w:t>
      </w:r>
    </w:p>
    <w:p>
      <w:pPr>
        <w:pStyle w:val="Compact"/>
        <w:numPr>
          <w:ilvl w:val="0"/>
          <w:numId w:val="1005"/>
        </w:numPr>
      </w:pPr>
      <w:r>
        <w:rPr>
          <w:b/>
          <w:bCs/>
        </w:rPr>
        <w:t xml:space="preserve">Session Management:</w:t>
      </w:r>
      <w:r>
        <w:t xml:space="preserve"> </w:t>
      </w:r>
      <w:r>
        <w:t xml:space="preserve">Use secure session handling – e.g., tokens with expiration. If a user is idle or the token expires, they should be logged out and prompted to log in again. Concurrent session limits or device registration (if needed) can be considered for security.</w:t>
      </w:r>
    </w:p>
    <w:bookmarkEnd w:id="32"/>
    <w:bookmarkStart w:id="34" w:name="fund-transfer-services"/>
    <w:p>
      <w:pPr>
        <w:pStyle w:val="Heading3"/>
      </w:pPr>
      <w:r>
        <w:t xml:space="preserve">Fund Transfer Services</w:t>
      </w:r>
    </w:p>
    <w:p>
      <w:pPr>
        <w:pStyle w:val="FirstParagraph"/>
      </w:pPr>
      <w:r>
        <w:t xml:space="preserve">The portal will support multiple payment methods with full functionality for each. Common requirements for all payment types: the user must select/source an account to debit, choose/add a beneficiary, enter amount, and optionally remarks. After submission, transactions may require either immediate processing (IMPS/UPI) or can be stored and scheduled (NEFT). All transactions will generate a unique reference number for tracking. Specifics:</w:t>
      </w:r>
    </w:p>
    <w:p>
      <w:pPr>
        <w:pStyle w:val="Compact"/>
        <w:numPr>
          <w:ilvl w:val="0"/>
          <w:numId w:val="1006"/>
        </w:numPr>
      </w:pPr>
      <w:r>
        <w:rPr>
          <w:b/>
          <w:bCs/>
        </w:rPr>
        <w:t xml:space="preserve">NEFT (National Electronic Funds Transfer):</w:t>
      </w:r>
    </w:p>
    <w:p>
      <w:pPr>
        <w:pStyle w:val="Compact"/>
        <w:numPr>
          <w:ilvl w:val="0"/>
          <w:numId w:val="1006"/>
        </w:numPr>
      </w:pPr>
      <w:r>
        <w:t xml:space="preserve">Allow users to transfer funds to any NEFT-enabled bank account by specifying beneficiary details (name, account number, bank IFSC).</w:t>
      </w:r>
    </w:p>
    <w:p>
      <w:pPr>
        <w:pStyle w:val="Compact"/>
        <w:numPr>
          <w:ilvl w:val="0"/>
          <w:numId w:val="1006"/>
        </w:numPr>
      </w:pPr>
      <w:r>
        <w:t xml:space="preserve">NEFT transactions are processed in batches by RBI. The system should accept NEFT requests 24x7; if any cut-off or batch schedule is in effect, display to the user the expected processing time (NEFT now operates 24x7, but in case of maintenance windows or similar, inform the user)</w:t>
      </w:r>
      <w:hyperlink r:id="rId33">
        <w:r>
          <w:rPr>
            <w:rStyle w:val="Hyperlink"/>
          </w:rPr>
          <w:t xml:space="preserve">[7]</w:t>
        </w:r>
      </w:hyperlink>
      <w:r>
        <w:t xml:space="preserve">.</w:t>
      </w:r>
    </w:p>
    <w:p>
      <w:pPr>
        <w:pStyle w:val="Compact"/>
        <w:numPr>
          <w:ilvl w:val="0"/>
          <w:numId w:val="1006"/>
        </w:numPr>
      </w:pPr>
      <w:r>
        <w:t xml:space="preserve">Once a NEFT is submitted, the status will typically be</w:t>
      </w:r>
      <w:r>
        <w:t xml:space="preserve"> </w:t>
      </w:r>
      <w:r>
        <w:rPr>
          <w:b/>
          <w:bCs/>
        </w:rPr>
        <w:t xml:space="preserve">Pending/Scheduled</w:t>
      </w:r>
      <w:r>
        <w:t xml:space="preserve"> </w:t>
      </w:r>
      <w:r>
        <w:t xml:space="preserve">until the batch is processed and confirmation received. The portal should update the transaction status to</w:t>
      </w:r>
      <w:r>
        <w:t xml:space="preserve"> </w:t>
      </w:r>
      <w:r>
        <w:rPr>
          <w:b/>
          <w:bCs/>
        </w:rPr>
        <w:t xml:space="preserve">Successful</w:t>
      </w:r>
      <w:r>
        <w:t xml:space="preserve"> </w:t>
      </w:r>
      <w:r>
        <w:t xml:space="preserve">(credit confirmation) or</w:t>
      </w:r>
      <w:r>
        <w:t xml:space="preserve"> </w:t>
      </w:r>
      <w:r>
        <w:rPr>
          <w:b/>
          <w:bCs/>
        </w:rPr>
        <w:t xml:space="preserve">Failed</w:t>
      </w:r>
      <w:r>
        <w:t xml:space="preserve"> </w:t>
      </w:r>
      <w:r>
        <w:t xml:space="preserve">(if the transfer is rejected) when feedback is received from the network.</w:t>
      </w:r>
    </w:p>
    <w:p>
      <w:pPr>
        <w:pStyle w:val="Compact"/>
        <w:numPr>
          <w:ilvl w:val="0"/>
          <w:numId w:val="1006"/>
        </w:numPr>
      </w:pPr>
      <w:r>
        <w:t xml:space="preserve">The user should be able to view past NEFT transactions and their status. Provide details such as date/time of request, amount, beneficiary, UTR (Unique Transaction Reference) number once available.</w:t>
      </w:r>
    </w:p>
    <w:p>
      <w:pPr>
        <w:numPr>
          <w:ilvl w:val="0"/>
          <w:numId w:val="1006"/>
        </w:numPr>
      </w:pPr>
      <w:r>
        <w:t xml:space="preserve">If applicable, implement a</w:t>
      </w:r>
      <w:r>
        <w:t xml:space="preserve"> </w:t>
      </w:r>
      <w:r>
        <w:rPr>
          <w:b/>
          <w:bCs/>
        </w:rPr>
        <w:t xml:space="preserve">Maker-Checker workflow</w:t>
      </w:r>
      <w:r>
        <w:t xml:space="preserve">: e.g., corporate Initiator submits an NEFT transfer, it goes into a pending state awaiting Approver approval. Only after an Approver authorizes it does the system actually send the NEFT to the bank network. (This dual approval is critical for corporate governance).</w:t>
      </w:r>
    </w:p>
    <w:p>
      <w:pPr>
        <w:numPr>
          <w:ilvl w:val="0"/>
          <w:numId w:val="1006"/>
        </w:numPr>
      </w:pPr>
      <w:r>
        <w:rPr>
          <w:b/>
          <w:bCs/>
        </w:rPr>
        <w:t xml:space="preserve">IMPS (Immediate Payment Service):</w:t>
      </w:r>
    </w:p>
    <w:p>
      <w:pPr>
        <w:pStyle w:val="Compact"/>
        <w:numPr>
          <w:ilvl w:val="0"/>
          <w:numId w:val="1006"/>
        </w:numPr>
      </w:pPr>
      <w:r>
        <w:t xml:space="preserve">Enable instant fund transfers up to a certain limit (usually ₹5 lakh) to any account via IMPS using beneficiary account+IFSC or MMID+phone (if supported by the bank).</w:t>
      </w:r>
    </w:p>
    <w:p>
      <w:pPr>
        <w:pStyle w:val="Compact"/>
        <w:numPr>
          <w:ilvl w:val="0"/>
          <w:numId w:val="1006"/>
        </w:numPr>
      </w:pPr>
      <w:r>
        <w:t xml:space="preserve">Since IMPS is real-time, the system will call the IMPS API and return success/failure immediately. The UI should show the result of the transfer within seconds.</w:t>
      </w:r>
    </w:p>
    <w:p>
      <w:pPr>
        <w:pStyle w:val="Compact"/>
        <w:numPr>
          <w:ilvl w:val="0"/>
          <w:numId w:val="1006"/>
        </w:numPr>
      </w:pPr>
      <w:r>
        <w:t xml:space="preserve">On success, display a transaction reference (RRN or UTR number) to the user. On failure, show an error reason if available (insufficient balance, network issue, etc.).</w:t>
      </w:r>
    </w:p>
    <w:p>
      <w:pPr>
        <w:pStyle w:val="Compact"/>
        <w:numPr>
          <w:ilvl w:val="0"/>
          <w:numId w:val="1006"/>
        </w:numPr>
      </w:pPr>
      <w:r>
        <w:t xml:space="preserve">IMPS transactions should also be saved in transaction history. Given their instantaneous nature, they might not require an Approver if the amount is small – however, corporate policy might still demand approval for any outgoing payment. The requirement should clarify if IMPS initiated by a Maker needs checker approval or is auto-processed (likely still needs approval for corporate context, except for maybe certain roles).</w:t>
      </w:r>
    </w:p>
    <w:p>
      <w:pPr>
        <w:numPr>
          <w:ilvl w:val="0"/>
          <w:numId w:val="1006"/>
        </w:numPr>
      </w:pPr>
      <w:r>
        <w:t xml:space="preserve">Handle edge cases such as beneficiary bank being offline (IMPS can sometimes be unavailable for a particular bank). In such cases, inform the user and possibly suggest using NEFT or retry later.</w:t>
      </w:r>
    </w:p>
    <w:p>
      <w:pPr>
        <w:numPr>
          <w:ilvl w:val="0"/>
          <w:numId w:val="1006"/>
        </w:numPr>
      </w:pPr>
      <w:r>
        <w:rPr>
          <w:b/>
          <w:bCs/>
        </w:rPr>
        <w:t xml:space="preserve">UPI (Unified Payments Interface):</w:t>
      </w:r>
    </w:p>
    <w:p>
      <w:pPr>
        <w:pStyle w:val="Compact"/>
        <w:numPr>
          <w:ilvl w:val="0"/>
          <w:numId w:val="1006"/>
        </w:numPr>
      </w:pPr>
      <w:r>
        <w:t xml:space="preserve">Allow users to transfer funds instantly using UPI. The user can input a UPI ID (VPA) or scan a QR code (if the front-end supports camera input) to populate the beneficiary.</w:t>
      </w:r>
    </w:p>
    <w:p>
      <w:pPr>
        <w:pStyle w:val="Compact"/>
        <w:numPr>
          <w:ilvl w:val="0"/>
          <w:numId w:val="1006"/>
        </w:numPr>
      </w:pPr>
      <w:r>
        <w:t xml:space="preserve">The portal will integrate with the UPI system via the bank’s UPI switch or partner API. Likely, the flow will be: the user enters UPI ID and amount, the system calls the UPI payment API. If a collect request is needed (for certain UPI flows), the system handles it accordingly.</w:t>
      </w:r>
    </w:p>
    <w:p>
      <w:pPr>
        <w:pStyle w:val="Compact"/>
        <w:numPr>
          <w:ilvl w:val="0"/>
          <w:numId w:val="1006"/>
        </w:numPr>
      </w:pPr>
      <w:r>
        <w:t xml:space="preserve">For UPI, often the sender must authorize the transaction using a UPI PIN (since UPI is usually a mobile-centric flow). In a web portal context, one approach is to generate a QR or deep link for the user to approve on their mobile UPI app. However, since this is a banking portal, it might assume the user has pre-registered for web UPI with the bank. This is a complex area; for now, assume our portal can act as a PSP (payment service provider) initiating the transfer if the user’s UPI handle is with our bank.</w:t>
      </w:r>
    </w:p>
    <w:p>
      <w:pPr>
        <w:pStyle w:val="Compact"/>
        <w:numPr>
          <w:ilvl w:val="0"/>
          <w:numId w:val="1006"/>
        </w:numPr>
      </w:pPr>
      <w:r>
        <w:t xml:space="preserve">Provide immediate feedback on success/failure of the UPI transaction. Show the transaction reference ID (UPI transaction ID) for successful transfers.</w:t>
      </w:r>
    </w:p>
    <w:p>
      <w:pPr>
        <w:pStyle w:val="Compact"/>
        <w:numPr>
          <w:ilvl w:val="0"/>
          <w:numId w:val="1006"/>
        </w:numPr>
      </w:pPr>
      <w:r>
        <w:t xml:space="preserve">UPI transactions should also appear in history. Typically UPI is for retail or small biz use; if our portal is corporate-focused, UPI might be used for small payments or could be optional.</w:t>
      </w:r>
    </w:p>
    <w:p>
      <w:pPr>
        <w:pStyle w:val="Compact"/>
        <w:numPr>
          <w:ilvl w:val="0"/>
          <w:numId w:val="1006"/>
        </w:numPr>
      </w:pPr>
      <w:r>
        <w:t xml:space="preserve">Security note: UPI has transaction limits and sometimes device-binding; we need to ensure initiating UPI from web is compliant (this might require additional authentication like an OTP or a mobile push confirmation). This detail may be handled by the integrated UPI service (SC Pay or equivalent).</w:t>
      </w:r>
    </w:p>
    <w:p>
      <w:pPr>
        <w:pStyle w:val="FirstParagraph"/>
      </w:pPr>
      <w:r>
        <w:t xml:space="preserve">For all the above payment types,</w:t>
      </w:r>
      <w:r>
        <w:t xml:space="preserve"> </w:t>
      </w:r>
      <w:r>
        <w:rPr>
          <w:b/>
          <w:bCs/>
        </w:rPr>
        <w:t xml:space="preserve">input validation</w:t>
      </w:r>
      <w:r>
        <w:t xml:space="preserve"> </w:t>
      </w:r>
      <w:r>
        <w:t xml:space="preserve">is crucial: the front-end and back-end must validate fields (e.g., IFSC code format for NEFT, UPI ID format, that amount is numeric and within limits, etc.). The system should also check available balance in the account before allowing a transfer. If the transfer fails for business reasons (like insufficient funds, invalid beneficiary, etc.), the user should get a clear message. Successful transactions should trigger notifications (email/SMS) to the user for record.</w:t>
      </w:r>
    </w:p>
    <w:p>
      <w:pPr>
        <w:pStyle w:val="BodyText"/>
      </w:pPr>
      <w:r>
        <w:rPr>
          <w:b/>
          <w:bCs/>
        </w:rPr>
        <w:t xml:space="preserve">Fees &amp; Limits:</w:t>
      </w:r>
      <w:r>
        <w:t xml:space="preserve"> </w:t>
      </w:r>
      <w:r>
        <w:t xml:space="preserve">If any service charges or limits apply (for example, NEFT/IMPS fees or daily transfer limits), these should be enforced and communicated. The PRD assumes zero fees for simplicity (since many banks waive NEFT/IMPS fees now), but this can be configured.</w:t>
      </w:r>
    </w:p>
    <w:bookmarkEnd w:id="34"/>
    <w:bookmarkStart w:id="37" w:name="account-management-balance-statements"/>
    <w:p>
      <w:pPr>
        <w:pStyle w:val="Heading3"/>
      </w:pPr>
      <w:r>
        <w:t xml:space="preserve">Account Management (Balance &amp; Statements)</w:t>
      </w:r>
    </w:p>
    <w:p>
      <w:pPr>
        <w:pStyle w:val="Compact"/>
        <w:numPr>
          <w:ilvl w:val="0"/>
          <w:numId w:val="1007"/>
        </w:numPr>
      </w:pPr>
      <w:r>
        <w:rPr>
          <w:b/>
          <w:bCs/>
        </w:rPr>
        <w:t xml:space="preserve">Account Summary:</w:t>
      </w:r>
      <w:r>
        <w:t xml:space="preserve"> </w:t>
      </w:r>
      <w:r>
        <w:t xml:space="preserve">Users can view a list of their accounts (savings, current, etc.) and their current balances. The system should pull real-time available balance from CBS for accuracy</w:t>
      </w:r>
      <w:hyperlink r:id="rId35">
        <w:r>
          <w:rPr>
            <w:rStyle w:val="Hyperlink"/>
          </w:rPr>
          <w:t xml:space="preserve">[8]</w:t>
        </w:r>
      </w:hyperlink>
      <w:hyperlink r:id="rId36">
        <w:r>
          <w:rPr>
            <w:rStyle w:val="Hyperlink"/>
          </w:rPr>
          <w:t xml:space="preserve">[9]</w:t>
        </w:r>
      </w:hyperlink>
      <w:r>
        <w:t xml:space="preserve">. For corporate users with many accounts, provide filters or search. Display account details such as account number, branch, and balance.</w:t>
      </w:r>
    </w:p>
    <w:p>
      <w:pPr>
        <w:pStyle w:val="Compact"/>
        <w:numPr>
          <w:ilvl w:val="0"/>
          <w:numId w:val="1007"/>
        </w:numPr>
      </w:pPr>
      <w:r>
        <w:rPr>
          <w:b/>
          <w:bCs/>
        </w:rPr>
        <w:t xml:space="preserve">Transaction History:</w:t>
      </w:r>
      <w:r>
        <w:t xml:space="preserve"> </w:t>
      </w:r>
      <w:r>
        <w:t xml:space="preserve">For a selected account, users can view recent transactions (credits and debits). The portal should display at least the last 90 days of transactions with details (date, description, amount, type, status). Allow filtering or searching by date range, amount, or reference.</w:t>
      </w:r>
    </w:p>
    <w:p>
      <w:pPr>
        <w:pStyle w:val="Compact"/>
        <w:numPr>
          <w:ilvl w:val="0"/>
          <w:numId w:val="1007"/>
        </w:numPr>
      </w:pPr>
      <w:r>
        <w:rPr>
          <w:b/>
          <w:bCs/>
        </w:rPr>
        <w:t xml:space="preserve">Transaction Details/Status:</w:t>
      </w:r>
      <w:r>
        <w:t xml:space="preserve"> </w:t>
      </w:r>
      <w:r>
        <w:t xml:space="preserve">If a user clicks on a specific transaction (especially one initiated through the portal), show a detailed view. This includes status (pending, completed, failed), timestamps (initiated time, completed time), references (NEFT UTR, IMPS transaction ID, etc.), and any associated remarks or error codes. This information will be provided by the Transaction Monitoring service which consolidates updates from payment networks.</w:t>
      </w:r>
    </w:p>
    <w:p>
      <w:pPr>
        <w:pStyle w:val="Compact"/>
        <w:numPr>
          <w:ilvl w:val="0"/>
          <w:numId w:val="1007"/>
        </w:numPr>
      </w:pPr>
      <w:r>
        <w:rPr>
          <w:b/>
          <w:bCs/>
        </w:rPr>
        <w:t xml:space="preserve">Download Statement:</w:t>
      </w:r>
      <w:r>
        <w:t xml:space="preserve"> </w:t>
      </w:r>
      <w:r>
        <w:t xml:space="preserve">Optionally, enable users to download or export account statements (PDF or CSV) for a given period. This might be generated by the Accounts Service pulling data from CBS or data warehouse. (This is a nice-to-have if time permits, as corporate users often require statements.)</w:t>
      </w:r>
    </w:p>
    <w:p>
      <w:pPr>
        <w:pStyle w:val="Compact"/>
        <w:numPr>
          <w:ilvl w:val="0"/>
          <w:numId w:val="1007"/>
        </w:numPr>
      </w:pPr>
      <w:r>
        <w:rPr>
          <w:b/>
          <w:bCs/>
        </w:rPr>
        <w:t xml:space="preserve">Check Balance (Quick Action):</w:t>
      </w:r>
      <w:r>
        <w:t xml:space="preserve"> </w:t>
      </w:r>
      <w:r>
        <w:t xml:space="preserve">In addition to the accounts page, a quick “Check Balance” feature could be on the dashboard (showing balances of key accounts at a glance). This should refresh on demand and reflect latest balances after any transaction.</w:t>
      </w:r>
    </w:p>
    <w:bookmarkEnd w:id="37"/>
    <w:bookmarkStart w:id="38" w:name="beneficiary-management"/>
    <w:p>
      <w:pPr>
        <w:pStyle w:val="Heading3"/>
      </w:pPr>
      <w:r>
        <w:t xml:space="preserve">Beneficiary Management</w:t>
      </w:r>
    </w:p>
    <w:p>
      <w:pPr>
        <w:pStyle w:val="Compact"/>
        <w:numPr>
          <w:ilvl w:val="0"/>
          <w:numId w:val="1008"/>
        </w:numPr>
      </w:pPr>
      <w:r>
        <w:rPr>
          <w:b/>
          <w:bCs/>
        </w:rPr>
        <w:t xml:space="preserve">Add Beneficiary:</w:t>
      </w:r>
      <w:r>
        <w:t xml:space="preserve"> </w:t>
      </w:r>
      <w:r>
        <w:t xml:space="preserve">Users can save payee details for future transfers. The portal will provide a form to add a beneficiary depending on transfer type: e.g., “Domestic Bank Transfer” beneficiary (name, bank account, IFSC) or “UPI Beneficiary” (name, UPI ID). Validate inputs (correct length of account number, valid IFSC format, etc.). Once added, the beneficiary is stored in the system. For corporate portals, adding a new beneficiary might require an approval as well (some systems have a checker approve new beneficiaries). We should support a dual-control here if required: Maker adds beneficiary, Checker approves it before it becomes active.</w:t>
      </w:r>
    </w:p>
    <w:p>
      <w:pPr>
        <w:pStyle w:val="Compact"/>
        <w:numPr>
          <w:ilvl w:val="0"/>
          <w:numId w:val="1008"/>
        </w:numPr>
      </w:pPr>
      <w:r>
        <w:rPr>
          <w:b/>
          <w:bCs/>
        </w:rPr>
        <w:t xml:space="preserve">Manage Beneficiaries:</w:t>
      </w:r>
      <w:r>
        <w:t xml:space="preserve"> </w:t>
      </w:r>
      <w:r>
        <w:t xml:space="preserve">List all saved beneficiaries with details (perhaps partially masked for security). Users can edit or delete a beneficiary. Editing might allow changing nickname or minor details but not critical identifiers without re-approval. Deleting should prompt confirmation.</w:t>
      </w:r>
    </w:p>
    <w:p>
      <w:pPr>
        <w:pStyle w:val="Compact"/>
        <w:numPr>
          <w:ilvl w:val="0"/>
          <w:numId w:val="1008"/>
        </w:numPr>
      </w:pPr>
      <w:r>
        <w:rPr>
          <w:b/>
          <w:bCs/>
        </w:rPr>
        <w:t xml:space="preserve">Beneficiary Use:</w:t>
      </w:r>
      <w:r>
        <w:t xml:space="preserve"> </w:t>
      </w:r>
      <w:r>
        <w:t xml:space="preserve">When making a transfer, the user can select from their saved beneficiaries instead of re-entering details. The system should integrate the beneficiary list in the payment forms (dropdown or auto-complete).</w:t>
      </w:r>
    </w:p>
    <w:p>
      <w:pPr>
        <w:pStyle w:val="Compact"/>
        <w:numPr>
          <w:ilvl w:val="0"/>
          <w:numId w:val="1008"/>
        </w:numPr>
      </w:pPr>
      <w:r>
        <w:rPr>
          <w:b/>
          <w:bCs/>
        </w:rPr>
        <w:t xml:space="preserve">Security:</w:t>
      </w:r>
      <w:r>
        <w:t xml:space="preserve"> </w:t>
      </w:r>
      <w:r>
        <w:t xml:space="preserve">Store beneficiary information securely on the back-end (encrypted at rest). If possible, mask sensitive info on UI (e.g., show last 4 digits of account number). Also, an audit log of additions/edits/deletions should be kept, since fraudulent addition of a beneficiary is a risk. Possibly notify the user (via email/SMS) whenever a new beneficiary is added as a security measure.</w:t>
      </w:r>
    </w:p>
    <w:bookmarkEnd w:id="38"/>
    <w:bookmarkStart w:id="39" w:name="Xf9aaa794099202e19ac4047e973e3e7d32a2c9f"/>
    <w:p>
      <w:pPr>
        <w:pStyle w:val="Heading3"/>
      </w:pPr>
      <w:r>
        <w:t xml:space="preserve">Transaction Approval &amp; Workflow (Maker-Checker)</w:t>
      </w:r>
    </w:p>
    <w:p>
      <w:pPr>
        <w:pStyle w:val="Compact"/>
        <w:numPr>
          <w:ilvl w:val="0"/>
          <w:numId w:val="1009"/>
        </w:numPr>
      </w:pPr>
      <w:r>
        <w:t xml:space="preserve">For corporate usage, any transaction (NEFT/IMPS/UPI or adding a beneficiary) initiated by a user with Initiator/Maker role should enter a</w:t>
      </w:r>
      <w:r>
        <w:t xml:space="preserve"> </w:t>
      </w:r>
      <w:r>
        <w:rPr>
          <w:b/>
          <w:bCs/>
        </w:rPr>
        <w:t xml:space="preserve">pending approval</w:t>
      </w:r>
      <w:r>
        <w:t xml:space="preserve"> </w:t>
      </w:r>
      <w:r>
        <w:t xml:space="preserve">state. The system will route this request to users with Approver role. Approvers should see a list of</w:t>
      </w:r>
      <w:r>
        <w:t xml:space="preserve"> </w:t>
      </w:r>
      <w:r>
        <w:rPr>
          <w:b/>
          <w:bCs/>
        </w:rPr>
        <w:t xml:space="preserve">Pending Approvals</w:t>
      </w:r>
      <w:r>
        <w:t xml:space="preserve"> </w:t>
      </w:r>
      <w:r>
        <w:t xml:space="preserve">(with details like who initiated, what type of transaction, amount, beneficiary).</w:t>
      </w:r>
    </w:p>
    <w:p>
      <w:pPr>
        <w:pStyle w:val="Compact"/>
        <w:numPr>
          <w:ilvl w:val="0"/>
          <w:numId w:val="1009"/>
        </w:numPr>
      </w:pPr>
      <w:r>
        <w:rPr>
          <w:b/>
          <w:bCs/>
        </w:rPr>
        <w:t xml:space="preserve">Approve/Reject:</w:t>
      </w:r>
      <w:r>
        <w:t xml:space="preserve"> </w:t>
      </w:r>
      <w:r>
        <w:t xml:space="preserve">The Approver can review a pending item and either approve it (then the system executes the transaction) or reject it (system cancels the request). The UI should provide a way to add a remark when rejecting (optional, for audit trail). Once approved, the transaction goes through the normal processing flow described earlier. The portal should update the Initiator’s view (e.g., the transaction moves from “pending” to “completed” in their history).</w:t>
      </w:r>
    </w:p>
    <w:p>
      <w:pPr>
        <w:pStyle w:val="Compact"/>
        <w:numPr>
          <w:ilvl w:val="0"/>
          <w:numId w:val="1009"/>
        </w:numPr>
      </w:pPr>
      <w:r>
        <w:rPr>
          <w:b/>
          <w:bCs/>
        </w:rPr>
        <w:t xml:space="preserve">Notifications in Workflow:</w:t>
      </w:r>
      <w:r>
        <w:t xml:space="preserve"> </w:t>
      </w:r>
      <w:r>
        <w:t xml:space="preserve">The Initiator should get a notification when their transaction is approved or rejected. The Approver should get a notification (or at least see on dashboard) when there are items awaiting approval. Real-time indicators (like a badge icon or email alerts) can be used to prompt timely approvals.</w:t>
      </w:r>
    </w:p>
    <w:p>
      <w:pPr>
        <w:pStyle w:val="Compact"/>
        <w:numPr>
          <w:ilvl w:val="0"/>
          <w:numId w:val="1009"/>
        </w:numPr>
      </w:pPr>
      <w:r>
        <w:t xml:space="preserve">This workflow enforcement is critical for corporate governance and is a distinguishing feature of an S2B-like portal. It may be bypassed for certain user types (e.g., an SME user who is sole proprietor might have self-approval rights), but that is configurable by user role.</w:t>
      </w:r>
    </w:p>
    <w:bookmarkEnd w:id="39"/>
    <w:bookmarkStart w:id="40" w:name="audit-and-activity-logs"/>
    <w:p>
      <w:pPr>
        <w:pStyle w:val="Heading3"/>
      </w:pPr>
      <w:r>
        <w:t xml:space="preserve">Audit and Activity Logs</w:t>
      </w:r>
    </w:p>
    <w:p>
      <w:pPr>
        <w:pStyle w:val="Compact"/>
        <w:numPr>
          <w:ilvl w:val="0"/>
          <w:numId w:val="1010"/>
        </w:numPr>
      </w:pPr>
      <w:r>
        <w:t xml:space="preserve">The system should keep track of user activities for security and compliance. For example, log every login attempt (success/failure), every transaction creation, approval, deletion of beneficiary, etc., with timestamp and user ID.</w:t>
      </w:r>
    </w:p>
    <w:p>
      <w:pPr>
        <w:pStyle w:val="Compact"/>
        <w:numPr>
          <w:ilvl w:val="0"/>
          <w:numId w:val="1010"/>
        </w:numPr>
      </w:pPr>
      <w:r>
        <w:t xml:space="preserve">These logs might be reviewed by bank administrators (admin interface out of scope here, but the back-end should support generating reports of activity).</w:t>
      </w:r>
    </w:p>
    <w:p>
      <w:pPr>
        <w:pStyle w:val="Compact"/>
        <w:numPr>
          <w:ilvl w:val="0"/>
          <w:numId w:val="1010"/>
        </w:numPr>
      </w:pPr>
      <w:r>
        <w:t xml:space="preserve">If needed, display to users a</w:t>
      </w:r>
      <w:r>
        <w:t xml:space="preserve"> </w:t>
      </w:r>
      <w:r>
        <w:rPr>
          <w:b/>
          <w:bCs/>
        </w:rPr>
        <w:t xml:space="preserve">Recent Activity</w:t>
      </w:r>
      <w:r>
        <w:t xml:space="preserve"> </w:t>
      </w:r>
      <w:r>
        <w:t xml:space="preserve">list (e.g., last login time, or last few actions they performed) to enhance transparency and help spot unauthorized use.</w:t>
      </w:r>
    </w:p>
    <w:bookmarkEnd w:id="40"/>
    <w:bookmarkEnd w:id="41"/>
    <w:bookmarkStart w:id="52" w:name="non-functional-requirements"/>
    <w:p>
      <w:pPr>
        <w:pStyle w:val="Heading2"/>
      </w:pPr>
      <w:r>
        <w:t xml:space="preserve">Non-Functional Requirements</w:t>
      </w:r>
    </w:p>
    <w:bookmarkStart w:id="44" w:name="security"/>
    <w:p>
      <w:pPr>
        <w:pStyle w:val="Heading3"/>
      </w:pPr>
      <w:r>
        <w:t xml:space="preserve">Security</w:t>
      </w:r>
    </w:p>
    <w:p>
      <w:pPr>
        <w:pStyle w:val="Compact"/>
        <w:numPr>
          <w:ilvl w:val="0"/>
          <w:numId w:val="1011"/>
        </w:numPr>
      </w:pPr>
      <w:r>
        <w:rPr>
          <w:b/>
          <w:bCs/>
        </w:rPr>
        <w:t xml:space="preserve">Data Protection:</w:t>
      </w:r>
      <w:r>
        <w:t xml:space="preserve"> </w:t>
      </w:r>
      <w:r>
        <w:t xml:space="preserve">All data in transit must be encrypted (HTTPS/TLS for all client-server communication). Internally, service-to-service calls should also use secure channels or be within a protected network. Sensitive data (passwords, PINs, tokens) will be encrypted or hashed in storage – e.g., passwords hashed with a strong algorithm, any API keys or secrets not exposed. All confidential banking data must be encrypted in transit and at rest</w:t>
      </w:r>
      <w:hyperlink r:id="rId42">
        <w:r>
          <w:rPr>
            <w:rStyle w:val="Hyperlink"/>
          </w:rPr>
          <w:t xml:space="preserve">[10]</w:t>
        </w:r>
      </w:hyperlink>
      <w:hyperlink r:id="rId43">
        <w:r>
          <w:rPr>
            <w:rStyle w:val="Hyperlink"/>
          </w:rPr>
          <w:t xml:space="preserve">[11]</w:t>
        </w:r>
      </w:hyperlink>
      <w:r>
        <w:t xml:space="preserve">.</w:t>
      </w:r>
    </w:p>
    <w:p>
      <w:pPr>
        <w:pStyle w:val="Compact"/>
        <w:numPr>
          <w:ilvl w:val="0"/>
          <w:numId w:val="1011"/>
        </w:numPr>
      </w:pPr>
      <w:r>
        <w:rPr>
          <w:b/>
          <w:bCs/>
        </w:rPr>
        <w:t xml:space="preserve">Authentication &amp; Authorization:</w:t>
      </w:r>
      <w:r>
        <w:t xml:space="preserve"> </w:t>
      </w:r>
      <w:r>
        <w:t xml:space="preserve">Implement robust controls to prevent unauthorized access. This includes account lockout policies (e.g., after 5 failed login attempts), JWT token expiration and refresh mechanisms, role-based permission checks on every API call, and ensuring that if a user tries to manipulate IDs (like accessing a transaction not owned by them) the system forbids it. Use strong authentication (including multi-factor) to secure access</w:t>
      </w:r>
      <w:hyperlink r:id="rId42">
        <w:r>
          <w:rPr>
            <w:rStyle w:val="Hyperlink"/>
          </w:rPr>
          <w:t xml:space="preserve">[10]</w:t>
        </w:r>
      </w:hyperlink>
      <w:r>
        <w:t xml:space="preserve">.</w:t>
      </w:r>
    </w:p>
    <w:p>
      <w:pPr>
        <w:pStyle w:val="Compact"/>
        <w:numPr>
          <w:ilvl w:val="0"/>
          <w:numId w:val="1011"/>
        </w:numPr>
      </w:pPr>
      <w:r>
        <w:rPr>
          <w:b/>
          <w:bCs/>
        </w:rPr>
        <w:t xml:space="preserve">Session Security:</w:t>
      </w:r>
      <w:r>
        <w:t xml:space="preserve"> </w:t>
      </w:r>
      <w:r>
        <w:t xml:space="preserve">Protect against common web vulnerabilities – e.g., use secure HttpOnly cookies for session if used, implement CSRF protection for state-changing requests, use X-Content-Type-Options and other headers to mitigate attacks. Also ensure the React app is built to avoid XSS (by proper escaping) and other front-end vulnerabilities.</w:t>
      </w:r>
    </w:p>
    <w:p>
      <w:pPr>
        <w:pStyle w:val="Compact"/>
        <w:numPr>
          <w:ilvl w:val="0"/>
          <w:numId w:val="1011"/>
        </w:numPr>
      </w:pPr>
      <w:r>
        <w:rPr>
          <w:b/>
          <w:bCs/>
        </w:rPr>
        <w:t xml:space="preserve">Input Validation &amp; Sanitization:</w:t>
      </w:r>
      <w:r>
        <w:t xml:space="preserve"> </w:t>
      </w:r>
      <w:r>
        <w:t xml:space="preserve">All inputs from users should be validated on both front-end and back-end to prevent injection attacks or errors. For example, ensure text fields do not accept scripts, amounts are numeric and within allowed range, etc.</w:t>
      </w:r>
    </w:p>
    <w:p>
      <w:pPr>
        <w:pStyle w:val="Compact"/>
        <w:numPr>
          <w:ilvl w:val="0"/>
          <w:numId w:val="1011"/>
        </w:numPr>
      </w:pPr>
      <w:r>
        <w:rPr>
          <w:b/>
          <w:bCs/>
        </w:rPr>
        <w:t xml:space="preserve">Audit Trail:</w:t>
      </w:r>
      <w:r>
        <w:t xml:space="preserve"> </w:t>
      </w:r>
      <w:r>
        <w:t xml:space="preserve">As mentioned, maintain an audit log of critical actions. This log should be tamper-proof or at least secure enough that it cannot be altered without detection, to meet compliance requirements.</w:t>
      </w:r>
    </w:p>
    <w:p>
      <w:pPr>
        <w:pStyle w:val="Compact"/>
        <w:numPr>
          <w:ilvl w:val="0"/>
          <w:numId w:val="1011"/>
        </w:numPr>
      </w:pPr>
      <w:r>
        <w:rPr>
          <w:b/>
          <w:bCs/>
        </w:rPr>
        <w:t xml:space="preserve">Compliance:</w:t>
      </w:r>
      <w:r>
        <w:t xml:space="preserve"> </w:t>
      </w:r>
      <w:r>
        <w:t xml:space="preserve">The system design should comply with relevant banking IT policies and regulations (e.g., RBI cybersecurity guidelines for online banking, PCI DSS if card data was involved, etc. – though primarily we deal with bank transfers, not card details). It should also follow data privacy laws for user data.</w:t>
      </w:r>
    </w:p>
    <w:bookmarkEnd w:id="44"/>
    <w:bookmarkStart w:id="46" w:name="performance-and-scalability"/>
    <w:p>
      <w:pPr>
        <w:pStyle w:val="Heading3"/>
      </w:pPr>
      <w:r>
        <w:t xml:space="preserve">Performance and Scalability</w:t>
      </w:r>
    </w:p>
    <w:p>
      <w:pPr>
        <w:pStyle w:val="Compact"/>
        <w:numPr>
          <w:ilvl w:val="0"/>
          <w:numId w:val="1012"/>
        </w:numPr>
      </w:pPr>
      <w:r>
        <w:rPr>
          <w:b/>
          <w:bCs/>
        </w:rPr>
        <w:t xml:space="preserve">Performance Targets:</w:t>
      </w:r>
      <w:r>
        <w:t xml:space="preserve"> </w:t>
      </w:r>
      <w:r>
        <w:t xml:space="preserve">The application should respond quickly to user actions. Page loads (after login) should be fast (ideally under 2 seconds for main pages under normal load). Fund transfer submissions should be processed in real-time or near-real-time; IMPS/UPI results within ~5 seconds, NEFT within batch window. The system should be able to handle high concurrent usage, e.g., hundreds of simultaneous users and transactions, without significant degradation.</w:t>
      </w:r>
    </w:p>
    <w:p>
      <w:pPr>
        <w:pStyle w:val="Compact"/>
        <w:numPr>
          <w:ilvl w:val="0"/>
          <w:numId w:val="1012"/>
        </w:numPr>
      </w:pPr>
      <w:r>
        <w:rPr>
          <w:b/>
          <w:bCs/>
        </w:rPr>
        <w:t xml:space="preserve">Scalability:</w:t>
      </w:r>
      <w:r>
        <w:t xml:space="preserve"> </w:t>
      </w:r>
      <w:r>
        <w:t xml:space="preserve">The microservices architecture allows scaling individual components horizontally. For example, if UPI usage grows, we can run multiple instances of the UPI/Payments service. The deployment on Docker (possibly orchestrated by Kubernetes or similar on-premises) will facilitate scaling out. The design should avoid single points of failure – e.g., use load balancers, and perhaps a message queue for inter-service communication where needed (for reliability).</w:t>
      </w:r>
    </w:p>
    <w:p>
      <w:pPr>
        <w:pStyle w:val="Compact"/>
        <w:numPr>
          <w:ilvl w:val="0"/>
          <w:numId w:val="1012"/>
        </w:numPr>
      </w:pPr>
      <w:r>
        <w:rPr>
          <w:b/>
          <w:bCs/>
        </w:rPr>
        <w:t xml:space="preserve">Throughput and Volume:</w:t>
      </w:r>
      <w:r>
        <w:t xml:space="preserve"> </w:t>
      </w:r>
      <w:r>
        <w:t xml:space="preserve">The system should support processing a large number of transactions per day (e.g., tens of thousands), and handle peak loads gracefully (such as end-of-quarter payment rush for corporates). Bulk payment operations (if needed in future) should be supported via file upload, though not in initial scope.</w:t>
      </w:r>
    </w:p>
    <w:p>
      <w:pPr>
        <w:pStyle w:val="Compact"/>
        <w:numPr>
          <w:ilvl w:val="0"/>
          <w:numId w:val="1012"/>
        </w:numPr>
      </w:pPr>
      <w:r>
        <w:rPr>
          <w:b/>
          <w:bCs/>
        </w:rPr>
        <w:t xml:space="preserve">Resource Management:</w:t>
      </w:r>
      <w:r>
        <w:t xml:space="preserve"> </w:t>
      </w:r>
      <w:r>
        <w:t xml:space="preserve">Each service should be optimized in terms of resource usage (CPU, memory) and have appropriate timeouts when calling external systems (so that one slow component doesn’t bottleneck everything). Use of efficient languages (like Go) for high-throughput services will aid performance</w:t>
      </w:r>
      <w:hyperlink r:id="rId45">
        <w:r>
          <w:rPr>
            <w:rStyle w:val="Hyperlink"/>
          </w:rPr>
          <w:t xml:space="preserve">[12]</w:t>
        </w:r>
      </w:hyperlink>
      <w:r>
        <w:t xml:space="preserve">.</w:t>
      </w:r>
    </w:p>
    <w:bookmarkEnd w:id="46"/>
    <w:bookmarkStart w:id="50" w:name="observability-and-monitoring"/>
    <w:p>
      <w:pPr>
        <w:pStyle w:val="Heading3"/>
      </w:pPr>
      <w:r>
        <w:t xml:space="preserve">Observability and Monitoring</w:t>
      </w:r>
    </w:p>
    <w:p>
      <w:pPr>
        <w:pStyle w:val="FirstParagraph"/>
      </w:pPr>
      <w:r>
        <w:t xml:space="preserve">To ensure we can track and troubleshoot transactions end-to-end, strong observability is required:</w:t>
      </w:r>
    </w:p>
    <w:p>
      <w:pPr>
        <w:pStyle w:val="Compact"/>
        <w:numPr>
          <w:ilvl w:val="0"/>
          <w:numId w:val="1013"/>
        </w:numPr>
      </w:pPr>
      <w:r>
        <w:rPr>
          <w:b/>
          <w:bCs/>
        </w:rPr>
        <w:t xml:space="preserve">Real User Monitoring (RUM):</w:t>
      </w:r>
      <w:r>
        <w:t xml:space="preserve"> </w:t>
      </w:r>
      <w:r>
        <w:t xml:space="preserve">Implement RUM on the front-end by embedding a monitoring script or using an agent that captures user experience metrics. RUM will gather data on page load times, API call latencies from the browser perspective, JavaScript errors, and user behavior flows</w:t>
      </w:r>
      <w:hyperlink r:id="rId23">
        <w:r>
          <w:rPr>
            <w:rStyle w:val="Hyperlink"/>
          </w:rPr>
          <w:t xml:space="preserve">[2]</w:t>
        </w:r>
      </w:hyperlink>
      <w:r>
        <w:t xml:space="preserve">. This will help identify if users face slowdowns or errors on the UI (for example, if the login page is taking too long to load or if a particular browser has issues). The RUM data will be sent to the monitoring system in real-time for analysis.</w:t>
      </w:r>
      <w:r>
        <w:t xml:space="preserve"> </w:t>
      </w:r>
      <w:r>
        <w:rPr>
          <w:i/>
          <w:iCs/>
        </w:rPr>
        <w:t xml:space="preserve">(The specific RUM tool will be decided by the engineering team – e.g., New Relic Browser, Datadog RUM, etc. – as part of observability setup outside this PRD.)</w:t>
      </w:r>
    </w:p>
    <w:p>
      <w:pPr>
        <w:pStyle w:val="Compact"/>
        <w:numPr>
          <w:ilvl w:val="0"/>
          <w:numId w:val="1013"/>
        </w:numPr>
      </w:pPr>
      <w:r>
        <w:rPr>
          <w:b/>
          <w:bCs/>
        </w:rPr>
        <w:t xml:space="preserve">Application Performance Monitoring (APM):</w:t>
      </w:r>
      <w:r>
        <w:t xml:space="preserve"> </w:t>
      </w:r>
      <w:r>
        <w:t xml:space="preserve">Each back-end service will include APM agents to monitor server-side performance. APM will track transactions through the services, measuring response times, database query times, external API calls, and any errors or exceptions in the back-end</w:t>
      </w:r>
      <w:hyperlink r:id="rId23">
        <w:r>
          <w:rPr>
            <w:rStyle w:val="Hyperlink"/>
          </w:rPr>
          <w:t xml:space="preserve">[2]</w:t>
        </w:r>
      </w:hyperlink>
      <w:r>
        <w:t xml:space="preserve">. By instrumenting the code with these agents, we can</w:t>
      </w:r>
      <w:r>
        <w:t xml:space="preserve"> </w:t>
      </w:r>
      <w:r>
        <w:rPr>
          <w:b/>
          <w:bCs/>
        </w:rPr>
        <w:t xml:space="preserve">monitor, track, and trace actions</w:t>
      </w:r>
      <w:r>
        <w:t xml:space="preserve"> </w:t>
      </w:r>
      <w:r>
        <w:t xml:space="preserve">within and across microservices</w:t>
      </w:r>
      <w:hyperlink r:id="rId47">
        <w:r>
          <w:rPr>
            <w:rStyle w:val="Hyperlink"/>
          </w:rPr>
          <w:t xml:space="preserve">[13]</w:t>
        </w:r>
      </w:hyperlink>
      <w:r>
        <w:t xml:space="preserve">. For instance, if a NEFT transaction fails at an external API call, APM trace will show where it failed and error details.</w:t>
      </w:r>
    </w:p>
    <w:p>
      <w:pPr>
        <w:pStyle w:val="Compact"/>
        <w:numPr>
          <w:ilvl w:val="0"/>
          <w:numId w:val="1013"/>
        </w:numPr>
      </w:pPr>
      <w:r>
        <w:rPr>
          <w:b/>
          <w:bCs/>
        </w:rPr>
        <w:t xml:space="preserve">Distributed Tracing:</w:t>
      </w:r>
      <w:r>
        <w:t xml:space="preserve"> </w:t>
      </w:r>
      <w:r>
        <w:t xml:space="preserve">Use correlation IDs for end-to-end tracing. When a user initiates a transaction, generate a unique trace ID and pass it through all service calls (and include it in logs). This way, logs and APM traces from different services can be correlated to a single user transaction</w:t>
      </w:r>
      <w:hyperlink r:id="rId48">
        <w:r>
          <w:rPr>
            <w:rStyle w:val="Hyperlink"/>
          </w:rPr>
          <w:t xml:space="preserve">[14]</w:t>
        </w:r>
      </w:hyperlink>
      <w:r>
        <w:t xml:space="preserve">. This correlation will also tie into RUM: e.g., the front-end could log the trace ID when the user initiated the action, so we can link the front-end session with back-end processing.</w:t>
      </w:r>
    </w:p>
    <w:p>
      <w:pPr>
        <w:pStyle w:val="Compact"/>
        <w:numPr>
          <w:ilvl w:val="0"/>
          <w:numId w:val="1013"/>
        </w:numPr>
      </w:pPr>
      <w:r>
        <w:rPr>
          <w:b/>
          <w:bCs/>
        </w:rPr>
        <w:t xml:space="preserve">Logging:</w:t>
      </w:r>
      <w:r>
        <w:t xml:space="preserve"> </w:t>
      </w:r>
      <w:r>
        <w:t xml:space="preserve">Implement centralized logging for all services. Each service will output structured logs (including timestamp, severity, correlation ID, user ID (if applicable), and message). These logs will be aggregated (using ELK stack or Splunk, etc.) for real-time monitoring and troubleshooting. All errors or important events should be logged.</w:t>
      </w:r>
    </w:p>
    <w:p>
      <w:pPr>
        <w:pStyle w:val="Compact"/>
        <w:numPr>
          <w:ilvl w:val="0"/>
          <w:numId w:val="1013"/>
        </w:numPr>
      </w:pPr>
      <w:r>
        <w:rPr>
          <w:b/>
          <w:bCs/>
        </w:rPr>
        <w:t xml:space="preserve">Monitoring Dashboards &amp; Alerts:</w:t>
      </w:r>
      <w:r>
        <w:t xml:space="preserve"> </w:t>
      </w:r>
      <w:r>
        <w:t xml:space="preserve">The observability setup (taken care of by the DevOps team as noted) will include dashboards to visualize metrics (transactions processed, success/failure rates, page load times, server CPU/memory, etc.). Alerts should be configured for anomalies (e.g., payment failure rate spikes, response time slowness, front-end error rate increases), so that the support team is notified proactively.</w:t>
      </w:r>
    </w:p>
    <w:p>
      <w:pPr>
        <w:pStyle w:val="Compact"/>
        <w:numPr>
          <w:ilvl w:val="0"/>
          <w:numId w:val="1013"/>
        </w:numPr>
      </w:pPr>
      <w:r>
        <w:rPr>
          <w:b/>
          <w:bCs/>
        </w:rPr>
        <w:t xml:space="preserve">APM/RUM Integration:</w:t>
      </w:r>
      <w:r>
        <w:t xml:space="preserve"> </w:t>
      </w:r>
      <w:r>
        <w:t xml:space="preserve">By combining RUM and APM, the team can get a comprehensive view from the user's browser all the way to the database</w:t>
      </w:r>
      <w:hyperlink r:id="rId49">
        <w:r>
          <w:rPr>
            <w:rStyle w:val="Hyperlink"/>
          </w:rPr>
          <w:t xml:space="preserve">[15]</w:t>
        </w:r>
      </w:hyperlink>
      <w:r>
        <w:t xml:space="preserve">. For example, New Relic or a similar tool can show a waterfall of a transaction: user clicked “Pay” (RUM recorded), front-end API call made, Payments service received it (APM trace starts), calls CBS (APM), returns to front-end, and front-end shows result. Having this end-to-end visibility is a requirement to quickly pinpoint issues and ensure a smooth user experience.</w:t>
      </w:r>
    </w:p>
    <w:p>
      <w:pPr>
        <w:pStyle w:val="FirstParagraph"/>
      </w:pPr>
      <w:r>
        <w:rPr>
          <w:i/>
          <w:iCs/>
        </w:rPr>
        <w:t xml:space="preserve">(Note: The actual choice and configuration of observability tools – such as which APM solution or log aggregator – will be handled by the development/DevOps team outside of this requirements scope. However, the application must be built in a way (with proper hooks, agents, and IDs) to facilitate this monitoring.)</w:t>
      </w:r>
    </w:p>
    <w:bookmarkEnd w:id="50"/>
    <w:bookmarkStart w:id="51" w:name="deployment-and-infrastructure"/>
    <w:p>
      <w:pPr>
        <w:pStyle w:val="Heading3"/>
      </w:pPr>
      <w:r>
        <w:t xml:space="preserve">Deployment and Infrastructure</w:t>
      </w:r>
    </w:p>
    <w:p>
      <w:pPr>
        <w:pStyle w:val="Compact"/>
        <w:numPr>
          <w:ilvl w:val="0"/>
          <w:numId w:val="1014"/>
        </w:numPr>
      </w:pPr>
      <w:r>
        <w:rPr>
          <w:b/>
          <w:bCs/>
        </w:rPr>
        <w:t xml:space="preserve">Deployment Environment:</w:t>
      </w:r>
      <w:r>
        <w:t xml:space="preserve"> </w:t>
      </w:r>
      <w:r>
        <w:t xml:space="preserve">The application will be deployed in Docker containers on-premises (on the organization’s servers). Each microservice will have its own Docker image; the React front-end can be containerized (e.g. served via an Nginx container) as well. Using Docker ensures consistency across development, testing, and production environments and simplifies deployments.</w:t>
      </w:r>
    </w:p>
    <w:p>
      <w:pPr>
        <w:pStyle w:val="Compact"/>
        <w:numPr>
          <w:ilvl w:val="0"/>
          <w:numId w:val="1014"/>
        </w:numPr>
      </w:pPr>
      <w:r>
        <w:rPr>
          <w:b/>
          <w:bCs/>
        </w:rPr>
        <w:t xml:space="preserve">Orchestration:</w:t>
      </w:r>
      <w:r>
        <w:t xml:space="preserve"> </w:t>
      </w:r>
      <w:r>
        <w:t xml:space="preserve">While a single Docker host could be used for a small-scale deployment, it’s expected to use a container orchestration platform (e.g. Kubernetes or Docker Swarm) for managing multiple containers, scaling, and service discovery in production. This will be set up on-premise (for compliance reasons, no public cloud) in the bank’s data center.</w:t>
      </w:r>
    </w:p>
    <w:p>
      <w:pPr>
        <w:pStyle w:val="Compact"/>
        <w:numPr>
          <w:ilvl w:val="0"/>
          <w:numId w:val="1014"/>
        </w:numPr>
      </w:pPr>
      <w:r>
        <w:rPr>
          <w:b/>
          <w:bCs/>
        </w:rPr>
        <w:t xml:space="preserve">Continuous Integration/Delivery:</w:t>
      </w:r>
      <w:r>
        <w:t xml:space="preserve"> </w:t>
      </w:r>
      <w:r>
        <w:t xml:space="preserve">The development workflow will include CI/CD pipelines to build, test, and deploy these containerized services. This ensures that new features or fixes can be rolled out with minimal downtime. Blue-green or rolling deployments are desirable to avoid disrupting active users.</w:t>
      </w:r>
    </w:p>
    <w:p>
      <w:pPr>
        <w:pStyle w:val="Compact"/>
        <w:numPr>
          <w:ilvl w:val="0"/>
          <w:numId w:val="1014"/>
        </w:numPr>
      </w:pPr>
      <w:r>
        <w:rPr>
          <w:b/>
          <w:bCs/>
        </w:rPr>
        <w:t xml:space="preserve">Configuration Management:</w:t>
      </w:r>
      <w:r>
        <w:t xml:space="preserve"> </w:t>
      </w:r>
      <w:r>
        <w:t xml:space="preserve">Sensitive configuration (database credentials, API keys for SC Pay/UPI, etc.) will be managed via secure config files or vault mechanisms, not hard-coded. The infrastructure should provide a secure secrets storage solution.</w:t>
      </w:r>
    </w:p>
    <w:p>
      <w:pPr>
        <w:pStyle w:val="Compact"/>
        <w:numPr>
          <w:ilvl w:val="0"/>
          <w:numId w:val="1014"/>
        </w:numPr>
      </w:pPr>
      <w:r>
        <w:rPr>
          <w:b/>
          <w:bCs/>
        </w:rPr>
        <w:t xml:space="preserve">Scaling &amp; Load Balancing:</w:t>
      </w:r>
      <w:r>
        <w:t xml:space="preserve"> </w:t>
      </w:r>
      <w:r>
        <w:t xml:space="preserve">The deployment will include load balancers to route requests to multiple instances of a service if scaled out. For example, if there are three instances of the Payments service running in containers, the load balancer will distribute API calls among them. The environment should also have health checks for each container to restart or replace unhealthy instances.</w:t>
      </w:r>
    </w:p>
    <w:p>
      <w:pPr>
        <w:pStyle w:val="Compact"/>
        <w:numPr>
          <w:ilvl w:val="0"/>
          <w:numId w:val="1014"/>
        </w:numPr>
      </w:pPr>
      <w:r>
        <w:rPr>
          <w:b/>
          <w:bCs/>
        </w:rPr>
        <w:t xml:space="preserve">Database:</w:t>
      </w:r>
      <w:r>
        <w:t xml:space="preserve"> </w:t>
      </w:r>
      <w:r>
        <w:t xml:space="preserve">There will likely be a database (or multiple) backing services like Beneficiary Management, Transaction logs, etc. The choice might be a SQL database for core data (accounts, beneficiaries) and maybe a NoSQL or in-memory store for quick lookups or caching. All databases will run on-premise as well, possibly also in containers or on dedicated VMs, depending on bank policy. Ensure data persistence and backups are addressed (e.g., volume mounts for Docker containers running databases).</w:t>
      </w:r>
    </w:p>
    <w:p>
      <w:pPr>
        <w:pStyle w:val="Compact"/>
        <w:numPr>
          <w:ilvl w:val="0"/>
          <w:numId w:val="1014"/>
        </w:numPr>
      </w:pPr>
      <w:r>
        <w:rPr>
          <w:b/>
          <w:bCs/>
        </w:rPr>
        <w:t xml:space="preserve">On-Premise Considerations:</w:t>
      </w:r>
      <w:r>
        <w:t xml:space="preserve"> </w:t>
      </w:r>
      <w:r>
        <w:t xml:space="preserve">Since this is on-prem, ensure that the system adheres to the bank’s IT infrastructure policies. This includes using approved OS images for containers, proper network segmentation (the app servers might sit in a DMZ with specific access to core banking network), and failover setup (maybe multiple data centers for DR).</w:t>
      </w:r>
    </w:p>
    <w:bookmarkEnd w:id="51"/>
    <w:bookmarkEnd w:id="52"/>
    <w:bookmarkStart w:id="53" w:name="conclusion-future-considerations"/>
    <w:p>
      <w:pPr>
        <w:pStyle w:val="Heading2"/>
      </w:pPr>
      <w:r>
        <w:t xml:space="preserve">Conclusion &amp; Future Considerations</w:t>
      </w:r>
    </w:p>
    <w:p>
      <w:pPr>
        <w:pStyle w:val="FirstParagraph"/>
      </w:pPr>
      <w:r>
        <w:t xml:space="preserve">This PRD defines a comprehensive online transaction banking portal with functionality akin to S2B NextGen, tailored for deployment in a secure on-premise environment. The system will empower users to perform NEFT, IMPS, and UPI transactions with ease, manage their accounts and beneficiaries, and do so with the oversight of robust security and approval workflows. The choice of React for front-end and a polyglot microservice back-end ensures a modern, scalable, and maintainable platform. Combined with full observability (RUM+APM)</w:t>
      </w:r>
      <w:hyperlink r:id="rId49">
        <w:r>
          <w:rPr>
            <w:rStyle w:val="Hyperlink"/>
          </w:rPr>
          <w:t xml:space="preserve">[15]</w:t>
        </w:r>
      </w:hyperlink>
      <w:r>
        <w:t xml:space="preserve">, the solution will not only serve the functional needs but also provide deep insights into usage and performance for continuous improvement.</w:t>
      </w:r>
    </w:p>
    <w:p>
      <w:pPr>
        <w:pStyle w:val="BodyText"/>
      </w:pPr>
      <w:r>
        <w:rPr>
          <w:b/>
          <w:bCs/>
        </w:rPr>
        <w:t xml:space="preserve">Future enhancements</w:t>
      </w:r>
      <w:r>
        <w:t xml:space="preserve"> </w:t>
      </w:r>
      <w:r>
        <w:t xml:space="preserve">could include adding more payment types (e.g., RTGS for high-value transfers, international SWIFT transfers), a mobile app counterpart (or responsive PWA), bulk payments uploads for corporate payroll, and AI-powered analytics on transaction data. The architecture laid out is flexible to accommodate these additions. The immediate priority, however, is to deliver the core features reliably and securely, as specified in this document.</w:t>
      </w:r>
    </w:p>
    <w:bookmarkEnd w:id="53"/>
    <w:bookmarkEnd w:id="54"/>
    <w:bookmarkEnd w:id="55"/>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5">
        <w:r>
          <w:rPr>
            <w:rStyle w:val="Hyperlink"/>
          </w:rPr>
          <w:t xml:space="preserve">[3]</w:t>
        </w:r>
      </w:hyperlink>
      <w:r>
        <w:t xml:space="preserve"> </w:t>
      </w:r>
      <w:r>
        <w:t xml:space="preserve">Straight2Bank | Overview of Straight2Bank</w:t>
      </w:r>
    </w:p>
    <w:p>
      <w:pPr>
        <w:pStyle w:val="BodyText"/>
      </w:pPr>
      <w:hyperlink r:id="rId56">
        <w:r>
          <w:rPr>
            <w:rStyle w:val="Hyperlink"/>
          </w:rPr>
          <w:t xml:space="preserve">https://s2b.sc.com/s2b/support/help_topics/support-center/overview-of-straight2bank/?lang=zh-hant</w:t>
        </w:r>
      </w:hyperlink>
    </w:p>
    <w:p>
      <w:pPr>
        <w:pStyle w:val="BodyText"/>
      </w:pPr>
      <w:hyperlink r:id="rId23">
        <w:r>
          <w:rPr>
            <w:rStyle w:val="Hyperlink"/>
          </w:rPr>
          <w:t xml:space="preserve">[2]</w:t>
        </w:r>
      </w:hyperlink>
      <w:r>
        <w:t xml:space="preserve"> </w:t>
      </w:r>
      <w:hyperlink r:id="rId47">
        <w:r>
          <w:rPr>
            <w:rStyle w:val="Hyperlink"/>
          </w:rPr>
          <w:t xml:space="preserve">[13]</w:t>
        </w:r>
      </w:hyperlink>
      <w:r>
        <w:t xml:space="preserve"> </w:t>
      </w:r>
      <w:hyperlink r:id="rId49">
        <w:r>
          <w:rPr>
            <w:rStyle w:val="Hyperlink"/>
          </w:rPr>
          <w:t xml:space="preserve">[15]</w:t>
        </w:r>
      </w:hyperlink>
      <w:r>
        <w:t xml:space="preserve"> </w:t>
      </w:r>
      <w:r>
        <w:t xml:space="preserve">RUM vs APM: Key Differences &amp; Benefits Explained | New Relic</w:t>
      </w:r>
    </w:p>
    <w:p>
      <w:pPr>
        <w:pStyle w:val="BodyText"/>
      </w:pPr>
      <w:hyperlink r:id="rId57">
        <w:r>
          <w:rPr>
            <w:rStyle w:val="Hyperlink"/>
          </w:rPr>
          <w:t xml:space="preserve">https://newrelic.com/blog/best-practices/rum-vs-apm</w:t>
        </w:r>
      </w:hyperlink>
    </w:p>
    <w:p>
      <w:pPr>
        <w:pStyle w:val="BodyText"/>
      </w:pPr>
      <w:hyperlink r:id="rId28">
        <w:r>
          <w:rPr>
            <w:rStyle w:val="Hyperlink"/>
          </w:rPr>
          <w:t xml:space="preserve">[4]</w:t>
        </w:r>
      </w:hyperlink>
      <w:r>
        <w:t xml:space="preserve"> </w:t>
      </w:r>
      <w:hyperlink r:id="rId45">
        <w:r>
          <w:rPr>
            <w:rStyle w:val="Hyperlink"/>
          </w:rPr>
          <w:t xml:space="preserve">[12]</w:t>
        </w:r>
      </w:hyperlink>
      <w:r>
        <w:t xml:space="preserve"> </w:t>
      </w:r>
      <w:r>
        <w:t xml:space="preserve">Building Polyglot Microservices: Using Different Languages for Different Services | by Ms. Byte Dev | CodeX | Medium</w:t>
      </w:r>
    </w:p>
    <w:p>
      <w:pPr>
        <w:pStyle w:val="BodyText"/>
      </w:pPr>
      <w:hyperlink r:id="rId58">
        <w:r>
          <w:rPr>
            <w:rStyle w:val="Hyperlink"/>
          </w:rPr>
          <w:t xml:space="preserve">https://medium.com/codex/building-polyglot-microservices-using-different-languages-for-different-services-5f6e4725cc78</w:t>
        </w:r>
      </w:hyperlink>
    </w:p>
    <w:p>
      <w:pPr>
        <w:pStyle w:val="BodyText"/>
      </w:pPr>
      <w:hyperlink r:id="rId29">
        <w:r>
          <w:rPr>
            <w:rStyle w:val="Hyperlink"/>
          </w:rPr>
          <w:t xml:space="preserve">[5]</w:t>
        </w:r>
      </w:hyperlink>
      <w:r>
        <w:t xml:space="preserve"> </w:t>
      </w:r>
      <w:r>
        <w:t xml:space="preserve">SC Pay and Scan &amp; Pay FAQs – Standard Chartered HK</w:t>
      </w:r>
    </w:p>
    <w:p>
      <w:pPr>
        <w:pStyle w:val="BodyText"/>
      </w:pPr>
      <w:hyperlink r:id="rId59">
        <w:r>
          <w:rPr>
            <w:rStyle w:val="Hyperlink"/>
          </w:rPr>
          <w:t xml:space="preserve">https://www.sc.com/hk/help/faqs-sc-pay/</w:t>
        </w:r>
      </w:hyperlink>
    </w:p>
    <w:p>
      <w:pPr>
        <w:pStyle w:val="BodyText"/>
      </w:pPr>
      <w:hyperlink r:id="rId30">
        <w:r>
          <w:rPr>
            <w:rStyle w:val="Hyperlink"/>
          </w:rPr>
          <w:t xml:space="preserve">[6]</w:t>
        </w:r>
      </w:hyperlink>
      <w:r>
        <w:t xml:space="preserve"> </w:t>
      </w:r>
      <w:r>
        <w:t xml:space="preserve">BALAJI SEKAR - SPECIALIST DATA ANALYST - STANDARD CHARTERED GBS - Bold.pro</w:t>
      </w:r>
    </w:p>
    <w:p>
      <w:pPr>
        <w:pStyle w:val="BodyText"/>
      </w:pPr>
      <w:hyperlink r:id="rId60">
        <w:r>
          <w:rPr>
            <w:rStyle w:val="Hyperlink"/>
          </w:rPr>
          <w:t xml:space="preserve">https://in.bold.pro/my/balaji-sekar-250324122946</w:t>
        </w:r>
      </w:hyperlink>
    </w:p>
    <w:p>
      <w:pPr>
        <w:pStyle w:val="BodyText"/>
      </w:pPr>
      <w:hyperlink r:id="rId33">
        <w:r>
          <w:rPr>
            <w:rStyle w:val="Hyperlink"/>
          </w:rPr>
          <w:t xml:space="preserve">[7]</w:t>
        </w:r>
      </w:hyperlink>
      <w:r>
        <w:t xml:space="preserve"> </w:t>
      </w:r>
      <w:r>
        <w:t xml:space="preserve">Fund Transfer - NEFT, RTGS, IMPS, UPI | IDFC FIRST Bank</w:t>
      </w:r>
    </w:p>
    <w:p>
      <w:pPr>
        <w:pStyle w:val="BodyText"/>
      </w:pPr>
      <w:hyperlink r:id="rId61">
        <w:r>
          <w:rPr>
            <w:rStyle w:val="Hyperlink"/>
          </w:rPr>
          <w:t xml:space="preserve">https://www.idfcfirstbank.com/personal-banking/payments/funds-transfer-new</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hyperlink r:id="rId42">
        <w:r>
          <w:rPr>
            <w:rStyle w:val="Hyperlink"/>
          </w:rPr>
          <w:t xml:space="preserve">[10]</w:t>
        </w:r>
      </w:hyperlink>
      <w:r>
        <w:t xml:space="preserve"> </w:t>
      </w:r>
      <w:hyperlink r:id="rId43">
        <w:r>
          <w:rPr>
            <w:rStyle w:val="Hyperlink"/>
          </w:rPr>
          <w:t xml:space="preserve">[11]</w:t>
        </w:r>
      </w:hyperlink>
      <w:r>
        <w:t xml:space="preserve"> </w:t>
      </w:r>
      <w:r>
        <w:t xml:space="preserve">IBM Cloud Docs</w:t>
      </w:r>
    </w:p>
    <w:p>
      <w:pPr>
        <w:pStyle w:val="BodyText"/>
      </w:pPr>
      <w:hyperlink r:id="rId62">
        <w:r>
          <w:rPr>
            <w:rStyle w:val="Hyperlink"/>
          </w:rPr>
          <w:t xml:space="preserve">https://cloud.ibm.com/docs/industry-ref-arch?topic=industry-ref-arch-banking-app</w:t>
        </w:r>
      </w:hyperlink>
    </w:p>
    <w:p>
      <w:pPr>
        <w:pStyle w:val="BodyText"/>
      </w:pPr>
      <w:hyperlink r:id="rId48">
        <w:r>
          <w:rPr>
            <w:rStyle w:val="Hyperlink"/>
          </w:rPr>
          <w:t xml:space="preserve">[14]</w:t>
        </w:r>
      </w:hyperlink>
      <w:r>
        <w:t xml:space="preserve"> </w:t>
      </w:r>
      <w:r>
        <w:t xml:space="preserve">Correlation ID: The Invisible Thread That Unifies Microservices</w:t>
      </w:r>
    </w:p>
    <w:p>
      <w:pPr>
        <w:pStyle w:val="BodyText"/>
      </w:pPr>
      <w:hyperlink r:id="rId63">
        <w:r>
          <w:rPr>
            <w:rStyle w:val="Hyperlink"/>
          </w:rPr>
          <w:t xml:space="preserve">https://medium.com/@anil.goyal0057/understanding-and-implementing-correlation-id-in-microservices-2900518954a0</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cloud.ibm.com/docs/industry-ref-arch?topic=industry-ref-arch-banking-app" TargetMode="External" /><Relationship Type="http://schemas.openxmlformats.org/officeDocument/2006/relationships/hyperlink" Id="rId43" Target="https://cloud.ibm.com/docs/industry-ref-arch?topic=industry-ref-arch-banking-app#:~:text=All%20confidential%20bank%20data%20must,Key%20management" TargetMode="External" /><Relationship Type="http://schemas.openxmlformats.org/officeDocument/2006/relationships/hyperlink" Id="rId35" Target="https://cloud.ibm.com/docs/industry-ref-arch?topic=industry-ref-arch-banking-app#:~:text=Core%20systems%20and%20systems%20of,record" TargetMode="External" /><Relationship Type="http://schemas.openxmlformats.org/officeDocument/2006/relationships/hyperlink" Id="rId42" Target="https://cloud.ibm.com/docs/industry-ref-arch?topic=industry-ref-arch-banking-app#:~:text=Security" TargetMode="External" /><Relationship Type="http://schemas.openxmlformats.org/officeDocument/2006/relationships/hyperlink" Id="rId36" Target="https://cloud.ibm.com/docs/industry-ref-arch?topic=industry-ref-arch-banking-app#:~:text=Traditional%20and%20new%20banking%20channels" TargetMode="External" /><Relationship Type="http://schemas.openxmlformats.org/officeDocument/2006/relationships/hyperlink" Id="rId60" Target="https://in.bold.pro/my/balaji-sekar-250324122946" TargetMode="External" /><Relationship Type="http://schemas.openxmlformats.org/officeDocument/2006/relationships/hyperlink" Id="rId30" Target="https://in.bold.pro/my/balaji-sekar-250324122946#:~:text=PROJECT%20NAME%20,IMPLEMENTATIONS" TargetMode="External" /><Relationship Type="http://schemas.openxmlformats.org/officeDocument/2006/relationships/hyperlink" Id="rId63" Target="https://medium.com/@anil.goyal0057/understanding-and-implementing-correlation-id-in-microservices-2900518954a0" TargetMode="External" /><Relationship Type="http://schemas.openxmlformats.org/officeDocument/2006/relationships/hyperlink" Id="rId48" Target="https://medium.com/@anil.goyal0057/understanding-and-implementing-correlation-id-in-microservices-2900518954a0#:~:text=Correlation%20ID%3A%20The%20Invisible%20Thread,request%20passes%20through%20multiple%20services" TargetMode="External" /><Relationship Type="http://schemas.openxmlformats.org/officeDocument/2006/relationships/hyperlink" Id="rId58" Target="https://medium.com/codex/building-polyglot-microservices-using-different-languages-for-different-services-5f6e4725cc78" TargetMode="External" /><Relationship Type="http://schemas.openxmlformats.org/officeDocument/2006/relationships/hyperlink" Id="rId45" Target="https://medium.com/codex/building-polyglot-microservices-using-different-languages-for-different-services-5f6e4725cc78#:~:text=%2A%20Python%3A%20Excellent%20for%20data,performance%20APIs" TargetMode="External" /><Relationship Type="http://schemas.openxmlformats.org/officeDocument/2006/relationships/hyperlink" Id="rId28" Target="https://medium.com/codex/building-polyglot-microservices-using-different-languages-for-different-services-5f6e4725cc78#:~:text=1,for%20the%20Job" TargetMode="External" /><Relationship Type="http://schemas.openxmlformats.org/officeDocument/2006/relationships/hyperlink" Id="rId57" Target="https://newrelic.com/blog/best-practices/rum-vs-apm" TargetMode="External" /><Relationship Type="http://schemas.openxmlformats.org/officeDocument/2006/relationships/hyperlink" Id="rId23" Target="https://newrelic.com/blog/best-practices/rum-vs-apm#:~:text=,server%20side%20of%20your%20services" TargetMode="External" /><Relationship Type="http://schemas.openxmlformats.org/officeDocument/2006/relationships/hyperlink" Id="rId47" Target="https://newrelic.com/blog/best-practices/rum-vs-apm#:~:text=How%20does%20APM%20work%3F" TargetMode="External" /><Relationship Type="http://schemas.openxmlformats.org/officeDocument/2006/relationships/hyperlink" Id="rId49" Target="https://newrelic.com/blog/best-practices/rum-vs-apm#:~:text=RUM%20and%20APM%20are%20complementary,part%20of%20our%C2%A0Intelligent%20Observability%20platform" TargetMode="External" /><Relationship Type="http://schemas.openxmlformats.org/officeDocument/2006/relationships/hyperlink" Id="rId56" Target="https://s2b.sc.com/s2b/support/help_topics/support-center/overview-of-straight2bank/?lang=zh-hant" TargetMode="External" /><Relationship Type="http://schemas.openxmlformats.org/officeDocument/2006/relationships/hyperlink" Id="rId25" Target="https://s2b.sc.com/s2b/support/help_topics/support-center/overview-of-straight2bank/?lang=zh-hant#:~:text=,View%20accounts%20information%20in%20Straight2Bank" TargetMode="External" /><Relationship Type="http://schemas.openxmlformats.org/officeDocument/2006/relationships/hyperlink" Id="rId21" Target="https://s2b.sc.com/s2b/support/help_topics/support-center/overview-of-straight2bank/?lang=zh-hant#:~:text=Straight2Bank%20NextGen%20is%20the%20latest,usability%20and%20enhanced%20user%20experience" TargetMode="External" /><Relationship Type="http://schemas.openxmlformats.org/officeDocument/2006/relationships/hyperlink" Id="rId61" Target="https://www.idfcfirstbank.com/personal-banking/payments/funds-transfer-new" TargetMode="External" /><Relationship Type="http://schemas.openxmlformats.org/officeDocument/2006/relationships/hyperlink" Id="rId33" Target="https://www.idfcfirstbank.com/personal-banking/payments/funds-transfer-new#:~:text=Fund%20Transfer%20,the%20National%20Payments%20Corporation" TargetMode="External" /><Relationship Type="http://schemas.openxmlformats.org/officeDocument/2006/relationships/hyperlink" Id="rId59" Target="https://www.sc.com/hk/help/faqs-sc-pay/" TargetMode="External" /><Relationship Type="http://schemas.openxmlformats.org/officeDocument/2006/relationships/hyperlink" Id="rId29" Target="https://www.sc.com/hk/help/faqs-sc-pay/#:~:text=,SC%20Pay" TargetMode="External" /></Relationships>
</file>

<file path=word/_rels/footnotes.xml.rels><?xml version="1.0" encoding="UTF-8"?><Relationships xmlns="http://schemas.openxmlformats.org/package/2006/relationships"><Relationship Type="http://schemas.openxmlformats.org/officeDocument/2006/relationships/hyperlink" Id="rId62" Target="https://cloud.ibm.com/docs/industry-ref-arch?topic=industry-ref-arch-banking-app" TargetMode="External" /><Relationship Type="http://schemas.openxmlformats.org/officeDocument/2006/relationships/hyperlink" Id="rId43" Target="https://cloud.ibm.com/docs/industry-ref-arch?topic=industry-ref-arch-banking-app#:~:text=All%20confidential%20bank%20data%20must,Key%20management" TargetMode="External" /><Relationship Type="http://schemas.openxmlformats.org/officeDocument/2006/relationships/hyperlink" Id="rId35" Target="https://cloud.ibm.com/docs/industry-ref-arch?topic=industry-ref-arch-banking-app#:~:text=Core%20systems%20and%20systems%20of,record" TargetMode="External" /><Relationship Type="http://schemas.openxmlformats.org/officeDocument/2006/relationships/hyperlink" Id="rId42" Target="https://cloud.ibm.com/docs/industry-ref-arch?topic=industry-ref-arch-banking-app#:~:text=Security" TargetMode="External" /><Relationship Type="http://schemas.openxmlformats.org/officeDocument/2006/relationships/hyperlink" Id="rId36" Target="https://cloud.ibm.com/docs/industry-ref-arch?topic=industry-ref-arch-banking-app#:~:text=Traditional%20and%20new%20banking%20channels" TargetMode="External" /><Relationship Type="http://schemas.openxmlformats.org/officeDocument/2006/relationships/hyperlink" Id="rId60" Target="https://in.bold.pro/my/balaji-sekar-250324122946" TargetMode="External" /><Relationship Type="http://schemas.openxmlformats.org/officeDocument/2006/relationships/hyperlink" Id="rId30" Target="https://in.bold.pro/my/balaji-sekar-250324122946#:~:text=PROJECT%20NAME%20,IMPLEMENTATIONS" TargetMode="External" /><Relationship Type="http://schemas.openxmlformats.org/officeDocument/2006/relationships/hyperlink" Id="rId63" Target="https://medium.com/@anil.goyal0057/understanding-and-implementing-correlation-id-in-microservices-2900518954a0" TargetMode="External" /><Relationship Type="http://schemas.openxmlformats.org/officeDocument/2006/relationships/hyperlink" Id="rId48" Target="https://medium.com/@anil.goyal0057/understanding-and-implementing-correlation-id-in-microservices-2900518954a0#:~:text=Correlation%20ID%3A%20The%20Invisible%20Thread,request%20passes%20through%20multiple%20services" TargetMode="External" /><Relationship Type="http://schemas.openxmlformats.org/officeDocument/2006/relationships/hyperlink" Id="rId58" Target="https://medium.com/codex/building-polyglot-microservices-using-different-languages-for-different-services-5f6e4725cc78" TargetMode="External" /><Relationship Type="http://schemas.openxmlformats.org/officeDocument/2006/relationships/hyperlink" Id="rId45" Target="https://medium.com/codex/building-polyglot-microservices-using-different-languages-for-different-services-5f6e4725cc78#:~:text=%2A%20Python%3A%20Excellent%20for%20data,performance%20APIs" TargetMode="External" /><Relationship Type="http://schemas.openxmlformats.org/officeDocument/2006/relationships/hyperlink" Id="rId28" Target="https://medium.com/codex/building-polyglot-microservices-using-different-languages-for-different-services-5f6e4725cc78#:~:text=1,for%20the%20Job" TargetMode="External" /><Relationship Type="http://schemas.openxmlformats.org/officeDocument/2006/relationships/hyperlink" Id="rId57" Target="https://newrelic.com/blog/best-practices/rum-vs-apm" TargetMode="External" /><Relationship Type="http://schemas.openxmlformats.org/officeDocument/2006/relationships/hyperlink" Id="rId23" Target="https://newrelic.com/blog/best-practices/rum-vs-apm#:~:text=,server%20side%20of%20your%20services" TargetMode="External" /><Relationship Type="http://schemas.openxmlformats.org/officeDocument/2006/relationships/hyperlink" Id="rId47" Target="https://newrelic.com/blog/best-practices/rum-vs-apm#:~:text=How%20does%20APM%20work%3F" TargetMode="External" /><Relationship Type="http://schemas.openxmlformats.org/officeDocument/2006/relationships/hyperlink" Id="rId49" Target="https://newrelic.com/blog/best-practices/rum-vs-apm#:~:text=RUM%20and%20APM%20are%20complementary,part%20of%20our%C2%A0Intelligent%20Observability%20platform" TargetMode="External" /><Relationship Type="http://schemas.openxmlformats.org/officeDocument/2006/relationships/hyperlink" Id="rId56" Target="https://s2b.sc.com/s2b/support/help_topics/support-center/overview-of-straight2bank/?lang=zh-hant" TargetMode="External" /><Relationship Type="http://schemas.openxmlformats.org/officeDocument/2006/relationships/hyperlink" Id="rId25" Target="https://s2b.sc.com/s2b/support/help_topics/support-center/overview-of-straight2bank/?lang=zh-hant#:~:text=,View%20accounts%20information%20in%20Straight2Bank" TargetMode="External" /><Relationship Type="http://schemas.openxmlformats.org/officeDocument/2006/relationships/hyperlink" Id="rId21" Target="https://s2b.sc.com/s2b/support/help_topics/support-center/overview-of-straight2bank/?lang=zh-hant#:~:text=Straight2Bank%20NextGen%20is%20the%20latest,usability%20and%20enhanced%20user%20experience" TargetMode="External" /><Relationship Type="http://schemas.openxmlformats.org/officeDocument/2006/relationships/hyperlink" Id="rId61" Target="https://www.idfcfirstbank.com/personal-banking/payments/funds-transfer-new" TargetMode="External" /><Relationship Type="http://schemas.openxmlformats.org/officeDocument/2006/relationships/hyperlink" Id="rId33" Target="https://www.idfcfirstbank.com/personal-banking/payments/funds-transfer-new#:~:text=Fund%20Transfer%20,the%20National%20Payments%20Corporation" TargetMode="External" /><Relationship Type="http://schemas.openxmlformats.org/officeDocument/2006/relationships/hyperlink" Id="rId59" Target="https://www.sc.com/hk/help/faqs-sc-pay/" TargetMode="External" /><Relationship Type="http://schemas.openxmlformats.org/officeDocument/2006/relationships/hyperlink" Id="rId29" Target="https://www.sc.com/hk/help/faqs-sc-pay/#:~:text=,SC%20P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2025-09-16T07:14:42Z</dcterms:created>
  <dcterms:modified xsi:type="dcterms:W3CDTF">2025-09-16T07:14:42Z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